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B44C4" w14:textId="77777777" w:rsidR="001678E2" w:rsidRDefault="001678E2" w:rsidP="001678E2">
      <w:pPr>
        <w:spacing w:before="118" w:line="413" w:lineRule="exact"/>
        <w:ind w:left="120"/>
        <w:rPr>
          <w:rFonts w:ascii="Georgia" w:hAnsi="Georgia"/>
          <w:b/>
          <w:noProof/>
          <w:sz w:val="44"/>
          <w:szCs w:val="44"/>
        </w:rPr>
      </w:pPr>
    </w:p>
    <w:p w14:paraId="4EF9D464" w14:textId="77777777" w:rsidR="001678E2" w:rsidRPr="00591C8D" w:rsidRDefault="001678E2" w:rsidP="001678E2">
      <w:pPr>
        <w:spacing w:before="118" w:line="413" w:lineRule="exact"/>
        <w:ind w:left="120"/>
        <w:rPr>
          <w:rFonts w:ascii="Georgia" w:hAnsi="Georgia"/>
          <w:b/>
          <w:sz w:val="44"/>
          <w:szCs w:val="44"/>
        </w:rPr>
      </w:pPr>
      <w:r w:rsidRPr="00591C8D">
        <w:rPr>
          <w:rFonts w:ascii="Georgia" w:hAnsi="Georgia"/>
          <w:b/>
          <w:noProof/>
          <w:sz w:val="44"/>
          <w:szCs w:val="44"/>
        </w:rPr>
        <w:t>Regulation Best Interest Disclosure</w:t>
      </w:r>
    </w:p>
    <w:p w14:paraId="6155DB37" w14:textId="77777777" w:rsidR="001678E2" w:rsidRPr="00347035" w:rsidRDefault="001678E2" w:rsidP="001678E2">
      <w:pPr>
        <w:pStyle w:val="BodyText"/>
        <w:rPr>
          <w:rFonts w:ascii="Georgia" w:hAnsi="Georgia"/>
          <w:sz w:val="22"/>
        </w:rPr>
      </w:pPr>
    </w:p>
    <w:p w14:paraId="35C7B37C" w14:textId="77777777" w:rsidR="001678E2" w:rsidRPr="008038FE" w:rsidRDefault="001678E2" w:rsidP="001678E2">
      <w:pPr>
        <w:pStyle w:val="BodyText"/>
        <w:ind w:left="119" w:right="30"/>
        <w:rPr>
          <w:rFonts w:ascii="Georgia" w:hAnsi="Georgia"/>
        </w:rPr>
      </w:pPr>
      <w:r>
        <w:rPr>
          <w:rFonts w:ascii="Georgia" w:hAnsi="Georgia"/>
        </w:rPr>
        <w:t>T</w:t>
      </w:r>
      <w:r w:rsidRPr="008038FE">
        <w:rPr>
          <w:rFonts w:ascii="Georgia" w:hAnsi="Georgia"/>
        </w:rPr>
        <w:t xml:space="preserve">his guide summarizes important information concerning the scope and terms of </w:t>
      </w:r>
      <w:r>
        <w:rPr>
          <w:rFonts w:ascii="Georgia" w:hAnsi="Georgia"/>
        </w:rPr>
        <w:t>the</w:t>
      </w:r>
      <w:r w:rsidRPr="008038FE">
        <w:rPr>
          <w:rFonts w:ascii="Georgia" w:hAnsi="Georgia"/>
        </w:rPr>
        <w:t xml:space="preserve"> brokerage services </w:t>
      </w:r>
      <w:r>
        <w:rPr>
          <w:rFonts w:ascii="Georgia" w:hAnsi="Georgia"/>
        </w:rPr>
        <w:t xml:space="preserve">World First Financial Services, Inc. (World) offers </w:t>
      </w:r>
      <w:r w:rsidRPr="008038FE">
        <w:rPr>
          <w:rFonts w:ascii="Georgia" w:hAnsi="Georgia"/>
        </w:rPr>
        <w:t xml:space="preserve">and details the </w:t>
      </w:r>
      <w:r>
        <w:rPr>
          <w:rFonts w:ascii="Georgia" w:hAnsi="Georgia"/>
        </w:rPr>
        <w:t xml:space="preserve">material </w:t>
      </w:r>
      <w:r w:rsidRPr="008038FE">
        <w:rPr>
          <w:rFonts w:ascii="Georgia" w:hAnsi="Georgia"/>
        </w:rPr>
        <w:t>conflicts of interest that arise through our delivery of brokerage services</w:t>
      </w:r>
      <w:r>
        <w:rPr>
          <w:rFonts w:ascii="Georgia" w:hAnsi="Georgia"/>
        </w:rPr>
        <w:t xml:space="preserve"> to you</w:t>
      </w:r>
      <w:r w:rsidRPr="008038FE">
        <w:rPr>
          <w:rFonts w:ascii="Georgia" w:hAnsi="Georgia"/>
        </w:rPr>
        <w:t xml:space="preserve">. We encourage you to review this information carefully, along with any applicable account agreement(s) and disclosure documentation you may receive from us. </w:t>
      </w:r>
    </w:p>
    <w:p w14:paraId="493D621B" w14:textId="77777777" w:rsidR="001678E2" w:rsidRPr="008038FE" w:rsidRDefault="001678E2" w:rsidP="001678E2">
      <w:pPr>
        <w:pStyle w:val="BodyText"/>
        <w:ind w:left="119" w:right="864"/>
        <w:jc w:val="right"/>
        <w:rPr>
          <w:rFonts w:ascii="Georgia" w:hAnsi="Georgia"/>
        </w:rPr>
      </w:pPr>
    </w:p>
    <w:p w14:paraId="52E97947" w14:textId="77777777" w:rsidR="001678E2" w:rsidRPr="008038FE" w:rsidRDefault="001678E2" w:rsidP="001678E2">
      <w:pPr>
        <w:pStyle w:val="Default"/>
        <w:ind w:left="120"/>
        <w:rPr>
          <w:rFonts w:ascii="Georgia" w:eastAsia="Arial" w:hAnsi="Georgia" w:cs="Arial"/>
          <w:color w:val="auto"/>
          <w:sz w:val="20"/>
          <w:szCs w:val="20"/>
        </w:rPr>
      </w:pPr>
      <w:r w:rsidRPr="0005319E">
        <w:rPr>
          <w:rFonts w:ascii="Georgia" w:eastAsia="Arial" w:hAnsi="Georgia" w:cs="Arial"/>
          <w:color w:val="auto"/>
          <w:sz w:val="20"/>
          <w:szCs w:val="20"/>
        </w:rPr>
        <w:t xml:space="preserve">As you review this information, we would like to remind you that </w:t>
      </w:r>
      <w:r>
        <w:rPr>
          <w:rFonts w:ascii="Georgia" w:eastAsia="Arial" w:hAnsi="Georgia" w:cs="Arial"/>
          <w:color w:val="auto"/>
          <w:sz w:val="20"/>
          <w:szCs w:val="20"/>
        </w:rPr>
        <w:t>we are</w:t>
      </w:r>
      <w:r w:rsidRPr="0005319E">
        <w:rPr>
          <w:rFonts w:ascii="Georgia" w:eastAsia="Arial" w:hAnsi="Georgia" w:cs="Arial"/>
          <w:color w:val="auto"/>
          <w:sz w:val="20"/>
          <w:szCs w:val="20"/>
        </w:rPr>
        <w:t xml:space="preserve"> registered with the U.S. Securities and Exchange Commission (SEC) as a broker dealer providing </w:t>
      </w:r>
      <w:r>
        <w:rPr>
          <w:rFonts w:ascii="Georgia" w:eastAsia="Arial" w:hAnsi="Georgia" w:cs="Arial"/>
          <w:color w:val="auto"/>
          <w:sz w:val="20"/>
          <w:szCs w:val="20"/>
        </w:rPr>
        <w:t xml:space="preserve">various </w:t>
      </w:r>
      <w:r w:rsidRPr="0005319E">
        <w:rPr>
          <w:rFonts w:ascii="Georgia" w:eastAsia="Arial" w:hAnsi="Georgia" w:cs="Arial"/>
          <w:color w:val="auto"/>
          <w:sz w:val="20"/>
          <w:szCs w:val="20"/>
        </w:rPr>
        <w:t>brokerage service</w:t>
      </w:r>
      <w:r>
        <w:rPr>
          <w:rFonts w:ascii="Georgia" w:eastAsia="Arial" w:hAnsi="Georgia" w:cs="Arial"/>
          <w:color w:val="auto"/>
          <w:sz w:val="20"/>
          <w:szCs w:val="20"/>
        </w:rPr>
        <w:t>s</w:t>
      </w:r>
      <w:r w:rsidRPr="0005319E">
        <w:rPr>
          <w:rFonts w:ascii="Georgia" w:eastAsia="Arial" w:hAnsi="Georgia" w:cs="Arial"/>
          <w:color w:val="auto"/>
          <w:sz w:val="20"/>
          <w:szCs w:val="20"/>
        </w:rPr>
        <w:t xml:space="preserve">. Our brokerage services are the primary focus of this guide. </w:t>
      </w:r>
      <w:r>
        <w:rPr>
          <w:rFonts w:ascii="Georgia" w:eastAsia="Arial" w:hAnsi="Georgia" w:cs="Arial"/>
          <w:color w:val="auto"/>
          <w:sz w:val="20"/>
          <w:szCs w:val="20"/>
        </w:rPr>
        <w:t xml:space="preserve"> P</w:t>
      </w:r>
      <w:r w:rsidRPr="0005319E">
        <w:rPr>
          <w:rFonts w:ascii="Georgia" w:eastAsia="Arial" w:hAnsi="Georgia" w:cs="Arial"/>
          <w:color w:val="auto"/>
          <w:sz w:val="20"/>
          <w:szCs w:val="20"/>
        </w:rPr>
        <w:t>lease review the Customer Relationship Summ</w:t>
      </w:r>
      <w:r>
        <w:rPr>
          <w:rFonts w:ascii="Georgia" w:eastAsia="Arial" w:hAnsi="Georgia" w:cs="Arial"/>
          <w:color w:val="auto"/>
          <w:sz w:val="20"/>
          <w:szCs w:val="20"/>
        </w:rPr>
        <w:t>a</w:t>
      </w:r>
      <w:r w:rsidRPr="0005319E">
        <w:rPr>
          <w:rFonts w:ascii="Georgia" w:eastAsia="Arial" w:hAnsi="Georgia" w:cs="Arial"/>
          <w:color w:val="auto"/>
          <w:sz w:val="20"/>
          <w:szCs w:val="20"/>
        </w:rPr>
        <w:t>r</w:t>
      </w:r>
      <w:r>
        <w:rPr>
          <w:rFonts w:ascii="Georgia" w:eastAsia="Arial" w:hAnsi="Georgia" w:cs="Arial"/>
          <w:color w:val="auto"/>
          <w:sz w:val="20"/>
          <w:szCs w:val="20"/>
        </w:rPr>
        <w:t>y</w:t>
      </w:r>
      <w:r w:rsidRPr="0005319E">
        <w:rPr>
          <w:rFonts w:ascii="Georgia" w:eastAsia="Arial" w:hAnsi="Georgia" w:cs="Arial"/>
          <w:color w:val="auto"/>
          <w:sz w:val="20"/>
          <w:szCs w:val="20"/>
        </w:rPr>
        <w:t xml:space="preserve"> (or Form CRS)</w:t>
      </w:r>
      <w:r>
        <w:rPr>
          <w:rFonts w:ascii="Georgia" w:eastAsia="Arial" w:hAnsi="Georgia" w:cs="Arial"/>
          <w:color w:val="auto"/>
          <w:sz w:val="20"/>
          <w:szCs w:val="20"/>
        </w:rPr>
        <w:t xml:space="preserve"> available at www.worldfinancial.net. </w:t>
      </w:r>
      <w:r w:rsidRPr="0005319E">
        <w:rPr>
          <w:rFonts w:ascii="Georgia" w:eastAsia="Arial" w:hAnsi="Georgia" w:cs="Arial"/>
          <w:color w:val="auto"/>
          <w:sz w:val="20"/>
          <w:szCs w:val="20"/>
        </w:rPr>
        <w:t xml:space="preserve">Our Form CRS </w:t>
      </w:r>
      <w:r>
        <w:rPr>
          <w:rFonts w:ascii="Georgia" w:eastAsia="Arial" w:hAnsi="Georgia" w:cs="Arial"/>
          <w:color w:val="auto"/>
          <w:sz w:val="20"/>
          <w:szCs w:val="20"/>
        </w:rPr>
        <w:t>contains</w:t>
      </w:r>
      <w:r w:rsidRPr="0005319E">
        <w:rPr>
          <w:rFonts w:ascii="Georgia" w:eastAsia="Arial" w:hAnsi="Georgia" w:cs="Arial"/>
          <w:color w:val="auto"/>
          <w:sz w:val="20"/>
          <w:szCs w:val="20"/>
        </w:rPr>
        <w:t xml:space="preserve"> important information about the types of</w:t>
      </w:r>
      <w:r w:rsidRPr="008038FE">
        <w:rPr>
          <w:rFonts w:ascii="Georgia" w:eastAsia="Arial" w:hAnsi="Georgia" w:cs="Arial"/>
          <w:color w:val="auto"/>
          <w:sz w:val="20"/>
          <w:szCs w:val="20"/>
        </w:rPr>
        <w:t xml:space="preserve"> services we offer along with general information related to compensation, conflicts of interest, disciplinary</w:t>
      </w:r>
      <w:r>
        <w:rPr>
          <w:rFonts w:ascii="Georgia" w:eastAsia="Arial" w:hAnsi="Georgia" w:cs="Arial"/>
          <w:color w:val="auto"/>
          <w:sz w:val="20"/>
          <w:szCs w:val="20"/>
        </w:rPr>
        <w:t xml:space="preserve"> </w:t>
      </w:r>
      <w:proofErr w:type="gramStart"/>
      <w:r>
        <w:rPr>
          <w:rFonts w:ascii="Georgia" w:eastAsia="Arial" w:hAnsi="Georgia" w:cs="Arial"/>
          <w:color w:val="auto"/>
          <w:sz w:val="20"/>
          <w:szCs w:val="20"/>
        </w:rPr>
        <w:t>action</w:t>
      </w:r>
      <w:proofErr w:type="gramEnd"/>
      <w:r w:rsidRPr="008038FE">
        <w:rPr>
          <w:rFonts w:ascii="Georgia" w:eastAsia="Arial" w:hAnsi="Georgia" w:cs="Arial"/>
          <w:color w:val="auto"/>
          <w:sz w:val="20"/>
          <w:szCs w:val="20"/>
        </w:rPr>
        <w:t xml:space="preserve"> and other reportable legal information. </w:t>
      </w:r>
    </w:p>
    <w:p w14:paraId="61DE7FF8" w14:textId="77777777" w:rsidR="001678E2" w:rsidRPr="008038FE" w:rsidRDefault="001678E2" w:rsidP="001678E2">
      <w:pPr>
        <w:pStyle w:val="BodyText"/>
        <w:ind w:left="119" w:right="864"/>
        <w:rPr>
          <w:rFonts w:ascii="Georgia" w:hAnsi="Georgia"/>
        </w:rPr>
      </w:pPr>
    </w:p>
    <w:p w14:paraId="2FE02B81" w14:textId="77777777" w:rsidR="001678E2" w:rsidRPr="008038FE" w:rsidRDefault="001678E2" w:rsidP="001678E2">
      <w:pPr>
        <w:pStyle w:val="BodyText"/>
        <w:ind w:left="119" w:right="864"/>
        <w:rPr>
          <w:rFonts w:ascii="Georgia" w:hAnsi="Georgia"/>
        </w:rPr>
      </w:pPr>
      <w:r w:rsidRPr="008038FE">
        <w:rPr>
          <w:rFonts w:ascii="Georgia" w:hAnsi="Georgia"/>
        </w:rPr>
        <w:t>Pl</w:t>
      </w:r>
      <w:r>
        <w:rPr>
          <w:rFonts w:ascii="Georgia" w:hAnsi="Georgia"/>
        </w:rPr>
        <w:t>ease carefully review and consider the information in each section below</w:t>
      </w:r>
      <w:r w:rsidRPr="008038FE">
        <w:rPr>
          <w:rFonts w:ascii="Georgia" w:hAnsi="Georgia"/>
        </w:rPr>
        <w:t xml:space="preserve">. </w:t>
      </w:r>
    </w:p>
    <w:p w14:paraId="45F1C89B" w14:textId="77777777" w:rsidR="001678E2" w:rsidRPr="00347035" w:rsidRDefault="001678E2" w:rsidP="001678E2">
      <w:pPr>
        <w:pStyle w:val="BodyText"/>
        <w:ind w:left="119" w:right="864"/>
        <w:rPr>
          <w:rFonts w:ascii="Georgia" w:hAnsi="Georgia"/>
          <w:sz w:val="24"/>
          <w:szCs w:val="24"/>
        </w:rPr>
      </w:pPr>
    </w:p>
    <w:p w14:paraId="67A9CCDB" w14:textId="60CDAE05" w:rsidR="001678E2" w:rsidRDefault="001678E2" w:rsidP="001678E2">
      <w:pPr>
        <w:pStyle w:val="BodyText"/>
        <w:ind w:right="864" w:firstLine="119"/>
        <w:rPr>
          <w:rFonts w:ascii="Georgia" w:hAnsi="Georgia"/>
          <w:sz w:val="24"/>
          <w:szCs w:val="24"/>
        </w:rPr>
      </w:pPr>
      <w:r w:rsidRPr="00D91B68">
        <w:rPr>
          <w:rFonts w:ascii="Georgia" w:hAnsi="Georgia"/>
          <w:sz w:val="24"/>
          <w:szCs w:val="24"/>
        </w:rPr>
        <w:t xml:space="preserve">Brokerage </w:t>
      </w:r>
      <w:r>
        <w:rPr>
          <w:rFonts w:ascii="Georgia" w:hAnsi="Georgia"/>
          <w:sz w:val="24"/>
          <w:szCs w:val="24"/>
        </w:rPr>
        <w:t>S</w:t>
      </w:r>
      <w:r>
        <w:rPr>
          <w:rFonts w:ascii="Georgia" w:hAnsi="Georgia"/>
          <w:sz w:val="24"/>
          <w:szCs w:val="24"/>
        </w:rPr>
        <w:t>ervices</w:t>
      </w:r>
      <w:r>
        <w:rPr>
          <w:rFonts w:ascii="Georgia" w:hAnsi="Georgia"/>
          <w:sz w:val="24"/>
          <w:szCs w:val="24"/>
        </w:rPr>
        <w:t>_______________________________________1</w:t>
      </w:r>
    </w:p>
    <w:p w14:paraId="7824D2A2" w14:textId="77777777" w:rsidR="001678E2" w:rsidRPr="00D91B68" w:rsidRDefault="001678E2" w:rsidP="001678E2">
      <w:pPr>
        <w:pStyle w:val="BodyText"/>
        <w:ind w:right="864" w:firstLine="119"/>
        <w:rPr>
          <w:rFonts w:ascii="Georgia" w:hAnsi="Georgia"/>
          <w:sz w:val="24"/>
          <w:szCs w:val="24"/>
        </w:rPr>
      </w:pPr>
    </w:p>
    <w:p w14:paraId="37B19254" w14:textId="28E06A05" w:rsidR="001678E2" w:rsidRPr="00D91B68" w:rsidRDefault="001678E2" w:rsidP="001678E2">
      <w:pPr>
        <w:pStyle w:val="BodyText"/>
        <w:ind w:right="864" w:firstLine="119"/>
        <w:rPr>
          <w:rFonts w:ascii="Georgia" w:hAnsi="Georgia"/>
          <w:sz w:val="24"/>
          <w:szCs w:val="24"/>
        </w:rPr>
      </w:pPr>
      <w:r>
        <w:rPr>
          <w:rFonts w:ascii="Georgia" w:hAnsi="Georgia"/>
          <w:sz w:val="24"/>
          <w:szCs w:val="24"/>
        </w:rPr>
        <w:t>Brokerage Se</w:t>
      </w:r>
      <w:r w:rsidRPr="00D91B68">
        <w:rPr>
          <w:rFonts w:ascii="Georgia" w:hAnsi="Georgia"/>
          <w:sz w:val="24"/>
          <w:szCs w:val="24"/>
        </w:rPr>
        <w:t xml:space="preserve">rvice </w:t>
      </w:r>
      <w:r>
        <w:rPr>
          <w:rFonts w:ascii="Georgia" w:hAnsi="Georgia"/>
          <w:sz w:val="24"/>
          <w:szCs w:val="24"/>
        </w:rPr>
        <w:t>M</w:t>
      </w:r>
      <w:r w:rsidRPr="00D91B68">
        <w:rPr>
          <w:rFonts w:ascii="Georgia" w:hAnsi="Georgia"/>
          <w:sz w:val="24"/>
          <w:szCs w:val="24"/>
        </w:rPr>
        <w:t xml:space="preserve">odels and </w:t>
      </w:r>
      <w:proofErr w:type="gramStart"/>
      <w:r>
        <w:rPr>
          <w:rFonts w:ascii="Georgia" w:hAnsi="Georgia"/>
          <w:sz w:val="24"/>
          <w:szCs w:val="24"/>
        </w:rPr>
        <w:t>P</w:t>
      </w:r>
      <w:r w:rsidRPr="00D91B68">
        <w:rPr>
          <w:rFonts w:ascii="Georgia" w:hAnsi="Georgia"/>
          <w:sz w:val="24"/>
          <w:szCs w:val="24"/>
        </w:rPr>
        <w:t>roduct</w:t>
      </w:r>
      <w:r>
        <w:rPr>
          <w:rFonts w:ascii="Georgia" w:hAnsi="Georgia"/>
          <w:sz w:val="24"/>
          <w:szCs w:val="24"/>
        </w:rPr>
        <w:t>s  _</w:t>
      </w:r>
      <w:proofErr w:type="gramEnd"/>
      <w:r>
        <w:rPr>
          <w:rFonts w:ascii="Georgia" w:hAnsi="Georgia"/>
          <w:sz w:val="24"/>
          <w:szCs w:val="24"/>
        </w:rPr>
        <w:t>___</w:t>
      </w:r>
      <w:r>
        <w:rPr>
          <w:rFonts w:ascii="Georgia" w:hAnsi="Georgia"/>
          <w:sz w:val="24"/>
          <w:szCs w:val="24"/>
        </w:rPr>
        <w:t>____________________</w:t>
      </w:r>
      <w:r>
        <w:rPr>
          <w:rFonts w:ascii="Georgia" w:hAnsi="Georgia"/>
          <w:sz w:val="24"/>
          <w:szCs w:val="24"/>
        </w:rPr>
        <w:t>4</w:t>
      </w:r>
    </w:p>
    <w:p w14:paraId="3247758F" w14:textId="77777777" w:rsidR="001678E2" w:rsidRPr="00D91B68" w:rsidRDefault="001678E2" w:rsidP="001678E2">
      <w:pPr>
        <w:pStyle w:val="ListParagraph"/>
        <w:rPr>
          <w:rFonts w:ascii="Georgia" w:hAnsi="Georgia"/>
          <w:sz w:val="24"/>
          <w:szCs w:val="24"/>
        </w:rPr>
      </w:pPr>
    </w:p>
    <w:p w14:paraId="7A75CF01" w14:textId="1318179A" w:rsidR="001678E2" w:rsidRPr="00D91B68" w:rsidRDefault="001678E2" w:rsidP="001678E2">
      <w:pPr>
        <w:pStyle w:val="BodyText"/>
        <w:ind w:right="864" w:firstLine="119"/>
        <w:rPr>
          <w:rFonts w:ascii="Georgia" w:hAnsi="Georgia"/>
          <w:sz w:val="24"/>
          <w:szCs w:val="24"/>
        </w:rPr>
      </w:pPr>
      <w:r>
        <w:rPr>
          <w:rFonts w:ascii="Georgia" w:hAnsi="Georgia"/>
          <w:sz w:val="24"/>
          <w:szCs w:val="24"/>
        </w:rPr>
        <w:t xml:space="preserve">Brokerage Fees and our </w:t>
      </w:r>
      <w:proofErr w:type="gramStart"/>
      <w:r>
        <w:rPr>
          <w:rFonts w:ascii="Georgia" w:hAnsi="Georgia"/>
          <w:sz w:val="24"/>
          <w:szCs w:val="24"/>
        </w:rPr>
        <w:t>Compensation  _</w:t>
      </w:r>
      <w:proofErr w:type="gramEnd"/>
      <w:r>
        <w:rPr>
          <w:rFonts w:ascii="Georgia" w:hAnsi="Georgia"/>
          <w:sz w:val="24"/>
          <w:szCs w:val="24"/>
        </w:rPr>
        <w:t>_______________</w:t>
      </w:r>
      <w:r>
        <w:rPr>
          <w:rFonts w:ascii="Georgia" w:hAnsi="Georgia"/>
          <w:sz w:val="24"/>
          <w:szCs w:val="24"/>
        </w:rPr>
        <w:t>_________4</w:t>
      </w:r>
    </w:p>
    <w:p w14:paraId="14935453" w14:textId="77777777" w:rsidR="001678E2" w:rsidRPr="00D91B68" w:rsidRDefault="001678E2" w:rsidP="001678E2">
      <w:pPr>
        <w:pStyle w:val="BodyText"/>
        <w:ind w:right="864"/>
        <w:rPr>
          <w:rFonts w:ascii="Georgia" w:hAnsi="Georgia"/>
          <w:sz w:val="24"/>
          <w:szCs w:val="24"/>
        </w:rPr>
      </w:pPr>
    </w:p>
    <w:p w14:paraId="7316AA79" w14:textId="09347091" w:rsidR="001678E2" w:rsidRPr="00D91B68" w:rsidRDefault="001678E2" w:rsidP="001678E2">
      <w:pPr>
        <w:pStyle w:val="BodyText"/>
        <w:ind w:right="864" w:firstLine="119"/>
        <w:rPr>
          <w:rFonts w:ascii="Georgia" w:hAnsi="Georgia"/>
          <w:sz w:val="24"/>
          <w:szCs w:val="24"/>
        </w:rPr>
      </w:pPr>
      <w:r w:rsidRPr="00D91B68">
        <w:rPr>
          <w:rFonts w:ascii="Georgia" w:hAnsi="Georgia"/>
          <w:sz w:val="24"/>
          <w:szCs w:val="24"/>
        </w:rPr>
        <w:t xml:space="preserve">Conflicts of </w:t>
      </w:r>
      <w:r>
        <w:rPr>
          <w:rFonts w:ascii="Georgia" w:hAnsi="Georgia"/>
          <w:sz w:val="24"/>
          <w:szCs w:val="24"/>
        </w:rPr>
        <w:t>I</w:t>
      </w:r>
      <w:r w:rsidRPr="00D91B68">
        <w:rPr>
          <w:rFonts w:ascii="Georgia" w:hAnsi="Georgia"/>
          <w:sz w:val="24"/>
          <w:szCs w:val="24"/>
        </w:rPr>
        <w:t>nterest</w:t>
      </w:r>
      <w:r>
        <w:rPr>
          <w:rFonts w:ascii="Georgia" w:hAnsi="Georgia"/>
          <w:sz w:val="24"/>
          <w:szCs w:val="24"/>
        </w:rPr>
        <w:t xml:space="preserve"> </w:t>
      </w:r>
      <w:r w:rsidRPr="001678E2">
        <w:rPr>
          <w:rFonts w:ascii="Georgia" w:hAnsi="Georgia"/>
          <w:sz w:val="24"/>
          <w:szCs w:val="24"/>
          <w:u w:val="single"/>
        </w:rPr>
        <w:t>_____________________</w:t>
      </w:r>
      <w:r w:rsidRPr="001678E2">
        <w:rPr>
          <w:rFonts w:ascii="Georgia" w:hAnsi="Georgia"/>
          <w:sz w:val="24"/>
          <w:szCs w:val="24"/>
          <w:u w:val="single"/>
        </w:rPr>
        <w:t xml:space="preserve">                                     </w:t>
      </w:r>
      <w:r w:rsidRPr="001678E2">
        <w:rPr>
          <w:rFonts w:ascii="Georgia" w:hAnsi="Georgia"/>
          <w:sz w:val="24"/>
          <w:szCs w:val="24"/>
          <w:u w:val="single"/>
        </w:rPr>
        <w:t>__</w:t>
      </w:r>
      <w:r w:rsidRPr="001678E2">
        <w:rPr>
          <w:rFonts w:ascii="Georgia" w:hAnsi="Georgia"/>
          <w:sz w:val="24"/>
          <w:szCs w:val="24"/>
          <w:u w:val="single"/>
        </w:rPr>
        <w:t>_</w:t>
      </w:r>
      <w:r>
        <w:rPr>
          <w:rFonts w:ascii="Georgia" w:hAnsi="Georgia"/>
          <w:sz w:val="24"/>
          <w:szCs w:val="24"/>
        </w:rPr>
        <w:t>8</w:t>
      </w:r>
    </w:p>
    <w:p w14:paraId="4796D83F" w14:textId="77777777" w:rsidR="001678E2" w:rsidRPr="00D91B68" w:rsidRDefault="001678E2" w:rsidP="001678E2">
      <w:pPr>
        <w:pStyle w:val="ListParagraph"/>
        <w:rPr>
          <w:rFonts w:ascii="Georgia" w:hAnsi="Georgia"/>
          <w:sz w:val="24"/>
          <w:szCs w:val="24"/>
        </w:rPr>
      </w:pPr>
    </w:p>
    <w:p w14:paraId="7B9B3172" w14:textId="77777777" w:rsidR="001678E2" w:rsidRDefault="001678E2" w:rsidP="001678E2">
      <w:pPr>
        <w:pStyle w:val="Heading1"/>
        <w:jc w:val="center"/>
        <w:rPr>
          <w:rFonts w:ascii="Georgia" w:hAnsi="Georgia"/>
          <w:sz w:val="36"/>
          <w:szCs w:val="36"/>
          <w:u w:val="none"/>
        </w:rPr>
      </w:pPr>
    </w:p>
    <w:p w14:paraId="0BC4E82A" w14:textId="77777777" w:rsidR="001678E2" w:rsidRPr="004A57A7" w:rsidRDefault="001678E2" w:rsidP="001678E2">
      <w:pPr>
        <w:pStyle w:val="Heading1"/>
        <w:rPr>
          <w:rFonts w:ascii="Georgia" w:hAnsi="Georgia"/>
          <w:sz w:val="36"/>
          <w:szCs w:val="36"/>
          <w:u w:val="none"/>
        </w:rPr>
      </w:pPr>
      <w:r w:rsidRPr="004A57A7">
        <w:rPr>
          <w:rFonts w:ascii="Georgia" w:hAnsi="Georgia"/>
          <w:sz w:val="36"/>
          <w:szCs w:val="36"/>
          <w:u w:val="none"/>
        </w:rPr>
        <w:t xml:space="preserve">Brokerage </w:t>
      </w:r>
      <w:r>
        <w:rPr>
          <w:rFonts w:ascii="Georgia" w:hAnsi="Georgia"/>
          <w:sz w:val="36"/>
          <w:szCs w:val="36"/>
          <w:u w:val="none"/>
        </w:rPr>
        <w:t>s</w:t>
      </w:r>
      <w:r w:rsidRPr="004A57A7">
        <w:rPr>
          <w:rFonts w:ascii="Georgia" w:hAnsi="Georgia"/>
          <w:sz w:val="36"/>
          <w:szCs w:val="36"/>
          <w:u w:val="none"/>
        </w:rPr>
        <w:t xml:space="preserve">ervices </w:t>
      </w:r>
    </w:p>
    <w:p w14:paraId="1C0B5B1E" w14:textId="77777777" w:rsidR="001678E2" w:rsidRPr="00347035" w:rsidRDefault="001678E2" w:rsidP="001678E2">
      <w:pPr>
        <w:pStyle w:val="Default"/>
        <w:ind w:left="120"/>
        <w:rPr>
          <w:rFonts w:ascii="Georgia" w:eastAsia="Arial" w:hAnsi="Georgia" w:cs="Arial"/>
          <w:bCs/>
          <w:color w:val="auto"/>
          <w:sz w:val="20"/>
          <w:szCs w:val="20"/>
        </w:rPr>
      </w:pPr>
    </w:p>
    <w:p w14:paraId="7AB348CA" w14:textId="77777777" w:rsidR="001678E2" w:rsidRPr="000A729F" w:rsidRDefault="001678E2" w:rsidP="001678E2">
      <w:pPr>
        <w:pStyle w:val="Default"/>
        <w:ind w:left="120"/>
        <w:rPr>
          <w:rFonts w:ascii="Georgia" w:hAnsi="Georgia" w:cs="Arial"/>
          <w:sz w:val="20"/>
          <w:szCs w:val="20"/>
        </w:rPr>
      </w:pPr>
      <w:r w:rsidRPr="000A729F">
        <w:rPr>
          <w:rFonts w:ascii="Georgia" w:eastAsia="Arial" w:hAnsi="Georgia" w:cs="Arial"/>
          <w:bCs/>
          <w:color w:val="auto"/>
          <w:sz w:val="20"/>
          <w:szCs w:val="20"/>
        </w:rPr>
        <w:t>When you establish a brokerage account with</w:t>
      </w:r>
      <w:r>
        <w:rPr>
          <w:rFonts w:ascii="Georgia" w:eastAsia="Arial" w:hAnsi="Georgia" w:cs="Arial"/>
          <w:bCs/>
          <w:color w:val="auto"/>
          <w:sz w:val="20"/>
          <w:szCs w:val="20"/>
        </w:rPr>
        <w:t xml:space="preserve"> World</w:t>
      </w:r>
      <w:r w:rsidRPr="000A729F">
        <w:rPr>
          <w:rFonts w:ascii="Georgia" w:eastAsia="Arial" w:hAnsi="Georgia" w:cs="Arial"/>
          <w:bCs/>
          <w:color w:val="auto"/>
          <w:sz w:val="20"/>
          <w:szCs w:val="20"/>
        </w:rPr>
        <w:t xml:space="preserve">, you </w:t>
      </w:r>
      <w:proofErr w:type="gramStart"/>
      <w:r w:rsidRPr="000A729F">
        <w:rPr>
          <w:rFonts w:ascii="Georgia" w:eastAsia="Arial" w:hAnsi="Georgia" w:cs="Arial"/>
          <w:bCs/>
          <w:color w:val="auto"/>
          <w:sz w:val="20"/>
          <w:szCs w:val="20"/>
        </w:rPr>
        <w:t>have the ability to</w:t>
      </w:r>
      <w:proofErr w:type="gramEnd"/>
      <w:r w:rsidRPr="000A729F">
        <w:rPr>
          <w:rFonts w:ascii="Georgia" w:eastAsia="Arial" w:hAnsi="Georgia" w:cs="Arial"/>
          <w:bCs/>
          <w:color w:val="auto"/>
          <w:sz w:val="20"/>
          <w:szCs w:val="20"/>
        </w:rPr>
        <w:t xml:space="preserve"> buy, sell and hold investments within your account</w:t>
      </w:r>
      <w:r>
        <w:rPr>
          <w:rFonts w:ascii="Georgia" w:eastAsia="Arial" w:hAnsi="Georgia" w:cs="Arial"/>
          <w:bCs/>
          <w:color w:val="auto"/>
          <w:sz w:val="20"/>
          <w:szCs w:val="20"/>
        </w:rPr>
        <w:t>. T</w:t>
      </w:r>
      <w:r w:rsidRPr="000A729F">
        <w:rPr>
          <w:rFonts w:ascii="Georgia" w:eastAsia="Arial" w:hAnsi="Georgia" w:cs="Arial"/>
          <w:bCs/>
          <w:color w:val="auto"/>
          <w:sz w:val="20"/>
          <w:szCs w:val="20"/>
        </w:rPr>
        <w:t xml:space="preserve">he primary service we provide is our </w:t>
      </w:r>
      <w:r>
        <w:rPr>
          <w:rFonts w:ascii="Georgia" w:eastAsia="Arial" w:hAnsi="Georgia" w:cs="Arial"/>
          <w:bCs/>
          <w:color w:val="auto"/>
          <w:sz w:val="20"/>
          <w:szCs w:val="20"/>
        </w:rPr>
        <w:t>access to all U.S. investment markets</w:t>
      </w:r>
      <w:r w:rsidRPr="000A729F">
        <w:rPr>
          <w:rFonts w:ascii="Georgia" w:eastAsia="Arial" w:hAnsi="Georgia" w:cs="Arial"/>
          <w:bCs/>
          <w:color w:val="auto"/>
          <w:sz w:val="20"/>
          <w:szCs w:val="20"/>
        </w:rPr>
        <w:t>. We execute purchases and sales on your behalf</w:t>
      </w:r>
      <w:r>
        <w:rPr>
          <w:rFonts w:ascii="Georgia" w:eastAsia="Arial" w:hAnsi="Georgia" w:cs="Arial"/>
          <w:bCs/>
          <w:color w:val="auto"/>
          <w:sz w:val="20"/>
          <w:szCs w:val="20"/>
        </w:rPr>
        <w:t>,</w:t>
      </w:r>
      <w:r w:rsidRPr="000A729F">
        <w:rPr>
          <w:rFonts w:ascii="Georgia" w:eastAsia="Arial" w:hAnsi="Georgia" w:cs="Arial"/>
          <w:bCs/>
          <w:color w:val="auto"/>
          <w:sz w:val="20"/>
          <w:szCs w:val="20"/>
        </w:rPr>
        <w:t xml:space="preserve"> and as directed by you. In a brokerage </w:t>
      </w:r>
      <w:proofErr w:type="gramStart"/>
      <w:r w:rsidRPr="000A729F">
        <w:rPr>
          <w:rFonts w:ascii="Georgia" w:eastAsia="Arial" w:hAnsi="Georgia" w:cs="Arial"/>
          <w:bCs/>
          <w:color w:val="auto"/>
          <w:sz w:val="20"/>
          <w:szCs w:val="20"/>
        </w:rPr>
        <w:t>services relationship</w:t>
      </w:r>
      <w:proofErr w:type="gramEnd"/>
      <w:r w:rsidRPr="000A729F">
        <w:rPr>
          <w:rFonts w:ascii="Georgia" w:eastAsia="Arial" w:hAnsi="Georgia" w:cs="Arial"/>
          <w:bCs/>
          <w:color w:val="auto"/>
          <w:sz w:val="20"/>
          <w:szCs w:val="20"/>
        </w:rPr>
        <w:t xml:space="preserve"> we can trade with you for our own account, for an affiliate or for another client, and we can earn a profit on those trades. The capacity in which we act is disclosed on your trade confirmation. However, we are not required to communicate it in advance, obtain your consent, or inform you of any profit earned on trades.</w:t>
      </w:r>
    </w:p>
    <w:p w14:paraId="4AFC64BE" w14:textId="77777777" w:rsidR="001678E2" w:rsidRDefault="001678E2" w:rsidP="001678E2">
      <w:pPr>
        <w:pStyle w:val="Default"/>
        <w:ind w:left="120"/>
        <w:rPr>
          <w:rFonts w:ascii="Georgia" w:eastAsia="Arial" w:hAnsi="Georgia" w:cs="Arial"/>
          <w:bCs/>
          <w:color w:val="auto"/>
          <w:sz w:val="20"/>
          <w:szCs w:val="20"/>
        </w:rPr>
      </w:pPr>
    </w:p>
    <w:p w14:paraId="4FB1B480" w14:textId="77777777" w:rsidR="001678E2" w:rsidRPr="000A729F" w:rsidRDefault="001678E2" w:rsidP="001678E2">
      <w:pPr>
        <w:pStyle w:val="Default"/>
        <w:ind w:left="120"/>
        <w:rPr>
          <w:rFonts w:ascii="Georgia" w:eastAsia="Arial" w:hAnsi="Georgia" w:cs="Arial"/>
          <w:b/>
          <w:bCs/>
          <w:color w:val="auto"/>
          <w:sz w:val="20"/>
          <w:szCs w:val="20"/>
        </w:rPr>
      </w:pPr>
      <w:r w:rsidRPr="000A729F">
        <w:rPr>
          <w:rFonts w:ascii="Georgia" w:eastAsia="Arial" w:hAnsi="Georgia" w:cs="Arial"/>
          <w:b/>
          <w:bCs/>
          <w:color w:val="auto"/>
          <w:sz w:val="20"/>
          <w:szCs w:val="20"/>
        </w:rPr>
        <w:t>Cash Brokerage and Margin Brokerage Accounts</w:t>
      </w:r>
    </w:p>
    <w:p w14:paraId="6F66666B" w14:textId="77777777" w:rsidR="001678E2" w:rsidRPr="000A729F" w:rsidRDefault="001678E2" w:rsidP="001678E2">
      <w:pPr>
        <w:pStyle w:val="Default"/>
        <w:ind w:left="120"/>
        <w:rPr>
          <w:rFonts w:ascii="Georgia" w:eastAsia="Arial" w:hAnsi="Georgia" w:cs="Arial"/>
          <w:bCs/>
          <w:color w:val="auto"/>
          <w:sz w:val="20"/>
          <w:szCs w:val="20"/>
        </w:rPr>
      </w:pPr>
      <w:r w:rsidRPr="000A729F">
        <w:rPr>
          <w:rFonts w:ascii="Georgia" w:eastAsia="Arial" w:hAnsi="Georgia" w:cs="Arial"/>
          <w:bCs/>
          <w:color w:val="auto"/>
          <w:sz w:val="20"/>
          <w:szCs w:val="20"/>
        </w:rPr>
        <w:t xml:space="preserve">We provide brokerage services through either a cash brokerage account or margin brokerage account, based on your eligibility and selection. In a cash brokerage account, you must pay for your purchases in full at the time of purchase. In a margin brokerage account, you must eventually pay for your purchases in full, but </w:t>
      </w:r>
      <w:r w:rsidRPr="00CF7059">
        <w:rPr>
          <w:rFonts w:ascii="Georgia" w:eastAsia="Arial" w:hAnsi="Georgia" w:cs="Arial"/>
          <w:bCs/>
          <w:color w:val="auto"/>
          <w:sz w:val="20"/>
          <w:szCs w:val="20"/>
        </w:rPr>
        <w:t>you may borrow part of the purchase</w:t>
      </w:r>
      <w:r>
        <w:rPr>
          <w:rFonts w:ascii="Georgia" w:eastAsia="Arial" w:hAnsi="Georgia" w:cs="Arial"/>
          <w:bCs/>
          <w:color w:val="auto"/>
          <w:sz w:val="20"/>
          <w:szCs w:val="20"/>
        </w:rPr>
        <w:t xml:space="preserve"> </w:t>
      </w:r>
      <w:r w:rsidRPr="00CF7059">
        <w:rPr>
          <w:rFonts w:ascii="Georgia" w:eastAsia="Arial" w:hAnsi="Georgia" w:cs="Arial"/>
          <w:bCs/>
          <w:color w:val="auto"/>
          <w:sz w:val="20"/>
          <w:szCs w:val="20"/>
        </w:rPr>
        <w:t xml:space="preserve">price from </w:t>
      </w:r>
      <w:r>
        <w:rPr>
          <w:rFonts w:ascii="Georgia" w:eastAsia="Arial" w:hAnsi="Georgia" w:cs="Arial"/>
          <w:bCs/>
          <w:color w:val="auto"/>
          <w:sz w:val="20"/>
          <w:szCs w:val="20"/>
        </w:rPr>
        <w:t xml:space="preserve">our </w:t>
      </w:r>
      <w:r w:rsidRPr="00CF7059">
        <w:rPr>
          <w:rFonts w:ascii="Georgia" w:eastAsia="Arial" w:hAnsi="Georgia" w:cs="Arial"/>
          <w:bCs/>
          <w:color w:val="auto"/>
          <w:sz w:val="20"/>
          <w:szCs w:val="20"/>
        </w:rPr>
        <w:t>clearing firm, First Clearing</w:t>
      </w:r>
      <w:r>
        <w:rPr>
          <w:rStyle w:val="FootnoteReference"/>
          <w:rFonts w:ascii="Georgia" w:eastAsia="Arial" w:hAnsi="Georgia" w:cs="Arial"/>
          <w:bCs/>
          <w:color w:val="auto"/>
          <w:sz w:val="20"/>
          <w:szCs w:val="20"/>
        </w:rPr>
        <w:footnoteReference w:id="1"/>
      </w:r>
      <w:r>
        <w:rPr>
          <w:rFonts w:ascii="Georgia" w:eastAsia="Arial" w:hAnsi="Georgia" w:cs="Arial"/>
          <w:bCs/>
          <w:color w:val="auto"/>
          <w:sz w:val="20"/>
          <w:szCs w:val="20"/>
        </w:rPr>
        <w:t>.</w:t>
      </w:r>
      <w:r w:rsidRPr="000A729F">
        <w:rPr>
          <w:rFonts w:ascii="Georgia" w:eastAsia="Arial" w:hAnsi="Georgia" w:cs="Arial"/>
          <w:bCs/>
          <w:color w:val="auto"/>
          <w:sz w:val="20"/>
          <w:szCs w:val="20"/>
        </w:rPr>
        <w:t xml:space="preserve"> This is generally referred to as a “margin loan.” The portion of the purchase price </w:t>
      </w:r>
      <w:r>
        <w:rPr>
          <w:rFonts w:ascii="Georgia" w:eastAsia="Arial" w:hAnsi="Georgia" w:cs="Arial"/>
          <w:bCs/>
          <w:color w:val="auto"/>
          <w:sz w:val="20"/>
          <w:szCs w:val="20"/>
        </w:rPr>
        <w:t xml:space="preserve">that is </w:t>
      </w:r>
      <w:r w:rsidRPr="000A729F">
        <w:rPr>
          <w:rFonts w:ascii="Georgia" w:eastAsia="Arial" w:hAnsi="Georgia" w:cs="Arial"/>
          <w:bCs/>
          <w:color w:val="auto"/>
          <w:sz w:val="20"/>
          <w:szCs w:val="20"/>
        </w:rPr>
        <w:t>loan</w:t>
      </w:r>
      <w:r>
        <w:rPr>
          <w:rFonts w:ascii="Georgia" w:eastAsia="Arial" w:hAnsi="Georgia" w:cs="Arial"/>
          <w:bCs/>
          <w:color w:val="auto"/>
          <w:sz w:val="20"/>
          <w:szCs w:val="20"/>
        </w:rPr>
        <w:t>ed</w:t>
      </w:r>
      <w:r w:rsidRPr="000A729F">
        <w:rPr>
          <w:rFonts w:ascii="Georgia" w:eastAsia="Arial" w:hAnsi="Georgia" w:cs="Arial"/>
          <w:bCs/>
          <w:color w:val="auto"/>
          <w:sz w:val="20"/>
          <w:szCs w:val="20"/>
        </w:rPr>
        <w:t xml:space="preserve"> you is secured by securities in your account, also referred to as “collateral.” You will incur interest costs </w:t>
      </w:r>
      <w:proofErr w:type="gramStart"/>
      <w:r w:rsidRPr="000A729F">
        <w:rPr>
          <w:rFonts w:ascii="Georgia" w:eastAsia="Arial" w:hAnsi="Georgia" w:cs="Arial"/>
          <w:bCs/>
          <w:color w:val="auto"/>
          <w:sz w:val="20"/>
          <w:szCs w:val="20"/>
        </w:rPr>
        <w:t>as a result of</w:t>
      </w:r>
      <w:proofErr w:type="gramEnd"/>
      <w:r w:rsidRPr="000A729F">
        <w:rPr>
          <w:rFonts w:ascii="Georgia" w:eastAsia="Arial" w:hAnsi="Georgia" w:cs="Arial"/>
          <w:bCs/>
          <w:color w:val="auto"/>
          <w:sz w:val="20"/>
          <w:szCs w:val="20"/>
        </w:rPr>
        <w:t xml:space="preserve"> your margin activity. While many securities are eligible to be used as collateral for a margin loan, some assets are not available for margin collateral purposes. </w:t>
      </w:r>
    </w:p>
    <w:p w14:paraId="4674017E" w14:textId="77777777" w:rsidR="001678E2" w:rsidRPr="000A729F" w:rsidRDefault="001678E2" w:rsidP="001678E2">
      <w:pPr>
        <w:pStyle w:val="Default"/>
        <w:ind w:left="120"/>
        <w:rPr>
          <w:rFonts w:ascii="Georgia" w:eastAsia="Arial" w:hAnsi="Georgia" w:cs="Arial"/>
          <w:bCs/>
          <w:color w:val="auto"/>
          <w:sz w:val="20"/>
          <w:szCs w:val="20"/>
        </w:rPr>
      </w:pPr>
    </w:p>
    <w:p w14:paraId="6B6A2AE5" w14:textId="77777777" w:rsidR="001678E2" w:rsidRPr="000A729F" w:rsidRDefault="001678E2" w:rsidP="001678E2">
      <w:pPr>
        <w:pStyle w:val="Default"/>
        <w:ind w:left="120"/>
        <w:rPr>
          <w:rFonts w:ascii="Georgia" w:eastAsia="Arial" w:hAnsi="Georgia" w:cs="Arial"/>
          <w:bCs/>
          <w:color w:val="auto"/>
          <w:sz w:val="20"/>
          <w:szCs w:val="20"/>
        </w:rPr>
      </w:pPr>
      <w:r w:rsidRPr="000A729F">
        <w:rPr>
          <w:rFonts w:ascii="Georgia" w:eastAsia="Arial" w:hAnsi="Georgia" w:cs="Arial"/>
          <w:bCs/>
          <w:color w:val="auto"/>
          <w:sz w:val="20"/>
          <w:szCs w:val="20"/>
        </w:rPr>
        <w:lastRenderedPageBreak/>
        <w:t xml:space="preserve">Given that a margin-enabled brokerage account has specific eligibility requirements, </w:t>
      </w:r>
      <w:r>
        <w:rPr>
          <w:rFonts w:ascii="Georgia" w:eastAsia="Arial" w:hAnsi="Georgia" w:cs="Arial"/>
          <w:bCs/>
          <w:color w:val="auto"/>
          <w:sz w:val="20"/>
          <w:szCs w:val="20"/>
        </w:rPr>
        <w:t xml:space="preserve">unique </w:t>
      </w:r>
      <w:r w:rsidRPr="000A729F">
        <w:rPr>
          <w:rFonts w:ascii="Georgia" w:eastAsia="Arial" w:hAnsi="Georgia" w:cs="Arial"/>
          <w:bCs/>
          <w:color w:val="auto"/>
          <w:sz w:val="20"/>
          <w:szCs w:val="20"/>
        </w:rPr>
        <w:t>costs</w:t>
      </w:r>
      <w:r>
        <w:rPr>
          <w:rFonts w:ascii="Georgia" w:eastAsia="Arial" w:hAnsi="Georgia" w:cs="Arial"/>
          <w:bCs/>
          <w:color w:val="auto"/>
          <w:sz w:val="20"/>
          <w:szCs w:val="20"/>
        </w:rPr>
        <w:t>,</w:t>
      </w:r>
      <w:r w:rsidRPr="000A729F">
        <w:rPr>
          <w:rFonts w:ascii="Georgia" w:eastAsia="Arial" w:hAnsi="Georgia" w:cs="Arial"/>
          <w:bCs/>
          <w:color w:val="auto"/>
          <w:sz w:val="20"/>
          <w:szCs w:val="20"/>
        </w:rPr>
        <w:t xml:space="preserve"> and governing regulatory requirements, our default brokerage </w:t>
      </w:r>
      <w:r>
        <w:rPr>
          <w:rFonts w:ascii="Georgia" w:eastAsia="Arial" w:hAnsi="Georgia" w:cs="Arial"/>
          <w:bCs/>
          <w:color w:val="auto"/>
          <w:sz w:val="20"/>
          <w:szCs w:val="20"/>
        </w:rPr>
        <w:t>option</w:t>
      </w:r>
      <w:r w:rsidRPr="000A729F">
        <w:rPr>
          <w:rFonts w:ascii="Georgia" w:eastAsia="Arial" w:hAnsi="Georgia" w:cs="Arial"/>
          <w:bCs/>
          <w:color w:val="auto"/>
          <w:sz w:val="20"/>
          <w:szCs w:val="20"/>
        </w:rPr>
        <w:t xml:space="preserve"> is our cash brokerage account. You must execute a separate margin agreement before engaging in margin brokerage activity. Included with your margin agreement is a copy of the </w:t>
      </w:r>
      <w:r w:rsidRPr="00DA72DC">
        <w:rPr>
          <w:rFonts w:ascii="Georgia" w:eastAsia="Arial" w:hAnsi="Georgia" w:cs="Arial"/>
          <w:bCs/>
          <w:sz w:val="20"/>
          <w:szCs w:val="20"/>
        </w:rPr>
        <w:t>Margin Disclosure Statement</w:t>
      </w:r>
      <w:r w:rsidRPr="000A729F">
        <w:rPr>
          <w:rFonts w:ascii="Georgia" w:eastAsia="Arial" w:hAnsi="Georgia" w:cs="Arial"/>
          <w:bCs/>
          <w:color w:val="auto"/>
          <w:sz w:val="20"/>
          <w:szCs w:val="20"/>
        </w:rPr>
        <w:t xml:space="preserve">. This statement </w:t>
      </w:r>
      <w:r>
        <w:rPr>
          <w:rFonts w:ascii="Georgia" w:eastAsia="Arial" w:hAnsi="Georgia" w:cs="Arial"/>
          <w:bCs/>
          <w:color w:val="auto"/>
          <w:sz w:val="20"/>
          <w:szCs w:val="20"/>
        </w:rPr>
        <w:t>contains</w:t>
      </w:r>
      <w:r w:rsidRPr="000A729F">
        <w:rPr>
          <w:rFonts w:ascii="Georgia" w:eastAsia="Arial" w:hAnsi="Georgia" w:cs="Arial"/>
          <w:bCs/>
          <w:color w:val="auto"/>
          <w:sz w:val="20"/>
          <w:szCs w:val="20"/>
        </w:rPr>
        <w:t xml:space="preserve"> important information you should understand and consider before establishing a margin brokerage relationship with us. For more information on our margin brokerage services, contact a </w:t>
      </w:r>
      <w:r>
        <w:rPr>
          <w:rFonts w:ascii="Georgia" w:eastAsia="Arial" w:hAnsi="Georgia" w:cs="Arial"/>
          <w:bCs/>
          <w:color w:val="auto"/>
          <w:sz w:val="20"/>
          <w:szCs w:val="20"/>
        </w:rPr>
        <w:t xml:space="preserve">financial </w:t>
      </w:r>
      <w:proofErr w:type="gramStart"/>
      <w:r>
        <w:rPr>
          <w:rFonts w:ascii="Georgia" w:eastAsia="Arial" w:hAnsi="Georgia" w:cs="Arial"/>
          <w:bCs/>
          <w:color w:val="auto"/>
          <w:sz w:val="20"/>
          <w:szCs w:val="20"/>
        </w:rPr>
        <w:t>advisor</w:t>
      </w:r>
      <w:proofErr w:type="gramEnd"/>
      <w:r w:rsidRPr="000A729F">
        <w:rPr>
          <w:rFonts w:ascii="Georgia" w:eastAsia="Arial" w:hAnsi="Georgia" w:cs="Arial"/>
          <w:bCs/>
          <w:color w:val="auto"/>
          <w:sz w:val="20"/>
          <w:szCs w:val="20"/>
        </w:rPr>
        <w:t xml:space="preserve"> or refer to our </w:t>
      </w:r>
      <w:r w:rsidRPr="00B327E8">
        <w:rPr>
          <w:rFonts w:ascii="Georgia" w:eastAsia="Arial" w:hAnsi="Georgia" w:cs="Arial"/>
          <w:bCs/>
          <w:sz w:val="20"/>
          <w:szCs w:val="20"/>
        </w:rPr>
        <w:t>Margin Disclosure Statement</w:t>
      </w:r>
      <w:r w:rsidRPr="000A729F">
        <w:rPr>
          <w:rFonts w:ascii="Georgia" w:eastAsia="Arial" w:hAnsi="Georgia" w:cs="Arial"/>
          <w:bCs/>
          <w:color w:val="auto"/>
          <w:sz w:val="20"/>
          <w:szCs w:val="20"/>
        </w:rPr>
        <w:t xml:space="preserve"> available at </w:t>
      </w:r>
      <w:r>
        <w:rPr>
          <w:rFonts w:ascii="Georgia" w:eastAsia="Arial" w:hAnsi="Georgia" w:cs="Arial"/>
          <w:bCs/>
          <w:color w:val="auto"/>
          <w:sz w:val="20"/>
          <w:szCs w:val="20"/>
        </w:rPr>
        <w:t>www.worldfinancial.net</w:t>
      </w:r>
      <w:r w:rsidRPr="000A729F">
        <w:rPr>
          <w:rFonts w:ascii="Georgia" w:eastAsia="Arial" w:hAnsi="Georgia" w:cs="Arial"/>
          <w:bCs/>
          <w:color w:val="auto"/>
          <w:sz w:val="20"/>
          <w:szCs w:val="20"/>
        </w:rPr>
        <w:t xml:space="preserve">. </w:t>
      </w:r>
    </w:p>
    <w:p w14:paraId="62FC7126" w14:textId="77777777" w:rsidR="001678E2" w:rsidRPr="000A729F" w:rsidRDefault="001678E2" w:rsidP="001678E2">
      <w:pPr>
        <w:pStyle w:val="Default"/>
        <w:ind w:left="120"/>
        <w:rPr>
          <w:rFonts w:ascii="Georgia" w:eastAsia="Arial" w:hAnsi="Georgia" w:cs="Arial"/>
          <w:bCs/>
          <w:color w:val="auto"/>
          <w:sz w:val="20"/>
          <w:szCs w:val="20"/>
        </w:rPr>
      </w:pPr>
    </w:p>
    <w:p w14:paraId="098DB69E" w14:textId="77777777" w:rsidR="001678E2" w:rsidRPr="000A729F" w:rsidRDefault="001678E2" w:rsidP="001678E2">
      <w:pPr>
        <w:pStyle w:val="Default"/>
        <w:ind w:left="90"/>
        <w:rPr>
          <w:rFonts w:ascii="Georgia" w:eastAsia="Arial" w:hAnsi="Georgia" w:cs="Arial"/>
          <w:b/>
          <w:bCs/>
          <w:color w:val="auto"/>
          <w:sz w:val="20"/>
          <w:szCs w:val="20"/>
        </w:rPr>
      </w:pPr>
      <w:r w:rsidRPr="000A729F">
        <w:rPr>
          <w:rFonts w:ascii="Georgia" w:eastAsia="Arial" w:hAnsi="Georgia" w:cs="Arial"/>
          <w:b/>
          <w:bCs/>
          <w:color w:val="auto"/>
          <w:sz w:val="20"/>
          <w:szCs w:val="20"/>
        </w:rPr>
        <w:t xml:space="preserve">Brokerage Account Types </w:t>
      </w:r>
    </w:p>
    <w:p w14:paraId="1CA38FE3" w14:textId="77777777" w:rsidR="001678E2" w:rsidRPr="000A729F" w:rsidRDefault="001678E2" w:rsidP="001678E2">
      <w:pPr>
        <w:pStyle w:val="Default"/>
        <w:ind w:left="90"/>
        <w:rPr>
          <w:rFonts w:ascii="Georgia" w:eastAsia="Arial" w:hAnsi="Georgia" w:cs="Arial"/>
          <w:bCs/>
          <w:color w:val="auto"/>
          <w:sz w:val="20"/>
          <w:szCs w:val="20"/>
        </w:rPr>
      </w:pPr>
      <w:r w:rsidRPr="000A729F">
        <w:rPr>
          <w:rFonts w:ascii="Georgia" w:eastAsia="Arial" w:hAnsi="Georgia" w:cs="Arial"/>
          <w:bCs/>
          <w:color w:val="auto"/>
          <w:sz w:val="20"/>
          <w:szCs w:val="20"/>
        </w:rPr>
        <w:t xml:space="preserve">We offer many different brokerage account types including individual and joint accounts, custodial accounts, Delivery Versus Payment (DVP) accounts, estate and trust accounts, partnership accounts, individual retirement accounts and other types of retirement accounts as outlined in our account agreement(s). You should refer to our account agreement(s) for more information concerning available account types or speak with a </w:t>
      </w:r>
      <w:r>
        <w:rPr>
          <w:rFonts w:ascii="Georgia" w:eastAsia="Arial" w:hAnsi="Georgia" w:cs="Arial"/>
          <w:bCs/>
          <w:color w:val="auto"/>
          <w:sz w:val="20"/>
          <w:szCs w:val="20"/>
        </w:rPr>
        <w:t>financial advisor</w:t>
      </w:r>
      <w:r w:rsidRPr="000A729F">
        <w:rPr>
          <w:rFonts w:ascii="Georgia" w:eastAsia="Arial" w:hAnsi="Georgia" w:cs="Arial"/>
          <w:bCs/>
          <w:color w:val="auto"/>
          <w:sz w:val="20"/>
          <w:szCs w:val="20"/>
        </w:rPr>
        <w:t>.</w:t>
      </w:r>
    </w:p>
    <w:p w14:paraId="49D3ABB1" w14:textId="77777777" w:rsidR="001678E2" w:rsidRPr="000A729F" w:rsidRDefault="001678E2" w:rsidP="001678E2">
      <w:pPr>
        <w:pStyle w:val="Default"/>
        <w:ind w:left="90"/>
        <w:rPr>
          <w:rFonts w:ascii="Georgia" w:eastAsia="Arial" w:hAnsi="Georgia" w:cs="Arial"/>
          <w:bCs/>
          <w:color w:val="auto"/>
          <w:sz w:val="20"/>
          <w:szCs w:val="20"/>
        </w:rPr>
      </w:pPr>
    </w:p>
    <w:p w14:paraId="586E6FEE" w14:textId="77777777" w:rsidR="001678E2" w:rsidRPr="000A729F" w:rsidRDefault="001678E2" w:rsidP="001678E2">
      <w:pPr>
        <w:pStyle w:val="Default"/>
        <w:ind w:left="120"/>
        <w:rPr>
          <w:rFonts w:ascii="Georgia" w:eastAsia="Arial" w:hAnsi="Georgia" w:cs="Arial"/>
          <w:b/>
          <w:bCs/>
          <w:color w:val="auto"/>
          <w:sz w:val="20"/>
          <w:szCs w:val="20"/>
        </w:rPr>
      </w:pPr>
      <w:r w:rsidRPr="000A729F">
        <w:rPr>
          <w:rFonts w:ascii="Georgia" w:eastAsia="Arial" w:hAnsi="Georgia" w:cs="Arial"/>
          <w:b/>
          <w:bCs/>
          <w:color w:val="auto"/>
          <w:sz w:val="20"/>
          <w:szCs w:val="20"/>
        </w:rPr>
        <w:t xml:space="preserve">Incidental Brokerage Services, Recommendations and Account Monitoring </w:t>
      </w:r>
    </w:p>
    <w:p w14:paraId="1FC8D401" w14:textId="77777777" w:rsidR="001678E2" w:rsidRPr="000A729F" w:rsidRDefault="001678E2" w:rsidP="001678E2">
      <w:pPr>
        <w:pStyle w:val="Default"/>
        <w:ind w:left="120"/>
        <w:rPr>
          <w:rFonts w:ascii="Georgia" w:eastAsia="Arial" w:hAnsi="Georgia" w:cs="Arial"/>
          <w:bCs/>
          <w:color w:val="auto"/>
          <w:sz w:val="20"/>
          <w:szCs w:val="20"/>
        </w:rPr>
      </w:pPr>
      <w:r w:rsidRPr="000A729F">
        <w:rPr>
          <w:rFonts w:ascii="Georgia" w:eastAsia="Arial" w:hAnsi="Georgia" w:cs="Arial"/>
          <w:bCs/>
          <w:color w:val="auto"/>
          <w:sz w:val="20"/>
          <w:szCs w:val="20"/>
        </w:rPr>
        <w:t>Within your brokerage account, we may also provide other incidental services such as research reports, and recommendations to buy, sell, or hold assets. When we make a securities recommendation, investment strategy recommendation or recommendation to rollover assets from your Qualified Retirement Plan (QRP) to an Individual Retirement Account (IRA), the recommendation is made in our capacity as a broker-dealer unless otherwise stated at the time of the recommendation. Any such statement will be made orally to you. Moreover, when we act in a brokerage capacity, we do not</w:t>
      </w:r>
      <w:r>
        <w:rPr>
          <w:rFonts w:ascii="Georgia" w:eastAsia="Arial" w:hAnsi="Georgia" w:cs="Arial"/>
          <w:bCs/>
          <w:color w:val="auto"/>
          <w:sz w:val="20"/>
          <w:szCs w:val="20"/>
        </w:rPr>
        <w:t xml:space="preserve"> agree to</w:t>
      </w:r>
      <w:r w:rsidRPr="000A729F">
        <w:rPr>
          <w:rFonts w:ascii="Georgia" w:eastAsia="Arial" w:hAnsi="Georgia" w:cs="Arial"/>
          <w:bCs/>
          <w:color w:val="auto"/>
          <w:sz w:val="20"/>
          <w:szCs w:val="20"/>
        </w:rPr>
        <w:t xml:space="preserve"> </w:t>
      </w:r>
      <w:proofErr w:type="gramStart"/>
      <w:r w:rsidRPr="000A729F">
        <w:rPr>
          <w:rFonts w:ascii="Georgia" w:eastAsia="Arial" w:hAnsi="Georgia" w:cs="Arial"/>
          <w:bCs/>
          <w:color w:val="auto"/>
          <w:sz w:val="20"/>
          <w:szCs w:val="20"/>
        </w:rPr>
        <w:t>enter into</w:t>
      </w:r>
      <w:proofErr w:type="gramEnd"/>
      <w:r w:rsidRPr="000A729F">
        <w:rPr>
          <w:rFonts w:ascii="Georgia" w:eastAsia="Arial" w:hAnsi="Georgia" w:cs="Arial"/>
          <w:bCs/>
          <w:color w:val="auto"/>
          <w:sz w:val="20"/>
          <w:szCs w:val="20"/>
        </w:rPr>
        <w:t xml:space="preserve"> a fiduciary relationship with you.</w:t>
      </w:r>
    </w:p>
    <w:p w14:paraId="7679FC55" w14:textId="77777777" w:rsidR="001678E2" w:rsidRPr="000A729F" w:rsidRDefault="001678E2" w:rsidP="001678E2">
      <w:pPr>
        <w:pStyle w:val="Default"/>
        <w:ind w:left="120"/>
        <w:rPr>
          <w:rFonts w:ascii="Georgia" w:eastAsia="Arial" w:hAnsi="Georgia" w:cs="Arial"/>
          <w:bCs/>
          <w:color w:val="auto"/>
          <w:sz w:val="20"/>
          <w:szCs w:val="20"/>
        </w:rPr>
      </w:pPr>
    </w:p>
    <w:p w14:paraId="40D23E24" w14:textId="77777777" w:rsidR="001678E2" w:rsidRPr="000A729F" w:rsidRDefault="001678E2" w:rsidP="001678E2">
      <w:pPr>
        <w:pStyle w:val="Default"/>
        <w:ind w:left="120"/>
        <w:rPr>
          <w:rFonts w:ascii="Georgia" w:eastAsia="Arial" w:hAnsi="Georgia" w:cs="Arial"/>
          <w:bCs/>
          <w:color w:val="auto"/>
          <w:sz w:val="20"/>
          <w:szCs w:val="20"/>
        </w:rPr>
      </w:pPr>
      <w:r w:rsidRPr="000A729F">
        <w:rPr>
          <w:rFonts w:ascii="Georgia" w:eastAsia="Arial" w:hAnsi="Georgia" w:cs="Arial"/>
          <w:bCs/>
          <w:color w:val="auto"/>
          <w:sz w:val="20"/>
          <w:szCs w:val="20"/>
        </w:rPr>
        <w:t xml:space="preserve">It is important for you to understand that when our </w:t>
      </w:r>
      <w:r>
        <w:rPr>
          <w:rFonts w:ascii="Georgia" w:eastAsia="Arial" w:hAnsi="Georgia" w:cs="Arial"/>
          <w:bCs/>
          <w:color w:val="auto"/>
          <w:sz w:val="20"/>
          <w:szCs w:val="20"/>
        </w:rPr>
        <w:t>financial advisor</w:t>
      </w:r>
      <w:r w:rsidRPr="000A729F">
        <w:rPr>
          <w:rFonts w:ascii="Georgia" w:eastAsia="Arial" w:hAnsi="Georgia" w:cs="Arial"/>
          <w:bCs/>
          <w:color w:val="auto"/>
          <w:sz w:val="20"/>
          <w:szCs w:val="20"/>
        </w:rPr>
        <w:t>s make a brokerage recommendation to you, we are obligated to ensure the recommendation is in your best interest,</w:t>
      </w:r>
      <w:r>
        <w:rPr>
          <w:rFonts w:ascii="Georgia" w:eastAsia="Arial" w:hAnsi="Georgia" w:cs="Arial"/>
          <w:bCs/>
          <w:color w:val="auto"/>
          <w:sz w:val="20"/>
          <w:szCs w:val="20"/>
        </w:rPr>
        <w:t xml:space="preserve"> considering reasonably available alternatives, and</w:t>
      </w:r>
      <w:r w:rsidRPr="000A729F">
        <w:rPr>
          <w:rFonts w:ascii="Georgia" w:eastAsia="Arial" w:hAnsi="Georgia" w:cs="Arial"/>
          <w:bCs/>
          <w:color w:val="auto"/>
          <w:sz w:val="20"/>
          <w:szCs w:val="20"/>
        </w:rPr>
        <w:t xml:space="preserve"> based on your stated investment objective, risk tolerance, liquidity needs, time horizon, financial needs, tax status, and other financial information you provide us. You may accept or reject any recommendation. It is also your responsibility to monitor the investments in your brokerage account, and we encourage you to do so regularly. </w:t>
      </w:r>
      <w:r w:rsidRPr="000A729F">
        <w:rPr>
          <w:rFonts w:ascii="Georgia" w:eastAsia="Arial" w:hAnsi="Georgia" w:cs="Arial"/>
          <w:color w:val="auto"/>
          <w:sz w:val="20"/>
          <w:szCs w:val="20"/>
        </w:rPr>
        <w:t xml:space="preserve">We do not commit to provide on-going monitoring of your brokerage account. If you prefer on-going monitoring of your account or investments, you should speak with a </w:t>
      </w:r>
      <w:r>
        <w:rPr>
          <w:rFonts w:ascii="Georgia" w:eastAsia="Arial" w:hAnsi="Georgia" w:cs="Arial"/>
          <w:color w:val="auto"/>
          <w:sz w:val="20"/>
          <w:szCs w:val="20"/>
        </w:rPr>
        <w:t>financial advisor</w:t>
      </w:r>
      <w:r w:rsidRPr="000A729F">
        <w:rPr>
          <w:rFonts w:ascii="Georgia" w:eastAsia="Arial" w:hAnsi="Georgia" w:cs="Arial"/>
          <w:color w:val="auto"/>
          <w:sz w:val="20"/>
          <w:szCs w:val="20"/>
        </w:rPr>
        <w:t xml:space="preserve"> about whether </w:t>
      </w:r>
      <w:r>
        <w:rPr>
          <w:rFonts w:ascii="Georgia" w:eastAsia="Arial" w:hAnsi="Georgia" w:cs="Arial"/>
          <w:color w:val="auto"/>
          <w:sz w:val="20"/>
          <w:szCs w:val="20"/>
        </w:rPr>
        <w:t>a managed account</w:t>
      </w:r>
      <w:r w:rsidRPr="000A729F">
        <w:rPr>
          <w:rFonts w:ascii="Georgia" w:eastAsia="Arial" w:hAnsi="Georgia" w:cs="Arial"/>
          <w:color w:val="auto"/>
          <w:sz w:val="20"/>
          <w:szCs w:val="20"/>
        </w:rPr>
        <w:t xml:space="preserve"> </w:t>
      </w:r>
      <w:r>
        <w:rPr>
          <w:rFonts w:ascii="Georgia" w:eastAsia="Arial" w:hAnsi="Georgia" w:cs="Arial"/>
          <w:color w:val="auto"/>
          <w:sz w:val="20"/>
          <w:szCs w:val="20"/>
        </w:rPr>
        <w:t>alternative</w:t>
      </w:r>
      <w:r w:rsidRPr="000A729F">
        <w:rPr>
          <w:rFonts w:ascii="Georgia" w:eastAsia="Arial" w:hAnsi="Georgia" w:cs="Arial"/>
          <w:color w:val="auto"/>
          <w:sz w:val="20"/>
          <w:szCs w:val="20"/>
        </w:rPr>
        <w:t xml:space="preserve"> is more appropriate for you.</w:t>
      </w:r>
    </w:p>
    <w:p w14:paraId="5CA6CF41" w14:textId="77777777" w:rsidR="001678E2" w:rsidRPr="000A729F" w:rsidRDefault="001678E2" w:rsidP="001678E2">
      <w:pPr>
        <w:pStyle w:val="Default"/>
        <w:ind w:left="120"/>
        <w:rPr>
          <w:rFonts w:ascii="Georgia" w:eastAsia="Arial" w:hAnsi="Georgia" w:cs="Arial"/>
          <w:bCs/>
          <w:color w:val="auto"/>
          <w:sz w:val="20"/>
          <w:szCs w:val="20"/>
        </w:rPr>
      </w:pPr>
    </w:p>
    <w:p w14:paraId="0669EB33" w14:textId="77777777" w:rsidR="001678E2" w:rsidRDefault="001678E2" w:rsidP="001678E2">
      <w:pPr>
        <w:pStyle w:val="Default"/>
        <w:ind w:left="120"/>
        <w:rPr>
          <w:rFonts w:ascii="Georgia" w:eastAsia="Arial" w:hAnsi="Georgia" w:cs="Arial"/>
          <w:color w:val="auto"/>
          <w:sz w:val="20"/>
          <w:szCs w:val="20"/>
        </w:rPr>
      </w:pPr>
      <w:r w:rsidRPr="000A729F">
        <w:rPr>
          <w:rFonts w:ascii="Georgia" w:eastAsia="Arial" w:hAnsi="Georgia" w:cs="Arial"/>
          <w:bCs/>
          <w:color w:val="auto"/>
          <w:sz w:val="20"/>
          <w:szCs w:val="20"/>
        </w:rPr>
        <w:t xml:space="preserve">Please also consider that from time to time we may provide you with additional information and resources to assist you with managing your brokerage account. </w:t>
      </w:r>
      <w:r w:rsidRPr="000A729F">
        <w:rPr>
          <w:rFonts w:ascii="Georgia" w:eastAsia="Arial" w:hAnsi="Georgia" w:cs="Arial"/>
          <w:color w:val="auto"/>
          <w:sz w:val="20"/>
          <w:szCs w:val="20"/>
        </w:rPr>
        <w:t xml:space="preserve">This may include but is not limited to educational resources, sales and marketing materials, performance reports, asset allocation guidance, and/or periodic brokerage account reviews. When we offer these services and information, we do so as a courtesy to you. These activities are not designed to monitor specific investment holdings in your brokerage account, they do not contain specific investment recommendations about investment holdings, and you should not consider them a recommendation to trade or hold any particular securities in your brokerage account. Upon your request, we will review such information and reports with you and may provide you with investment recommendations, but we are not under a specific obligation to do so. </w:t>
      </w:r>
    </w:p>
    <w:p w14:paraId="2870BD4C" w14:textId="77777777" w:rsidR="001678E2" w:rsidRDefault="001678E2" w:rsidP="001678E2">
      <w:pPr>
        <w:pStyle w:val="Default"/>
        <w:ind w:left="120"/>
        <w:rPr>
          <w:rFonts w:ascii="Georgia" w:eastAsia="Arial" w:hAnsi="Georgia" w:cs="Arial"/>
          <w:color w:val="auto"/>
          <w:sz w:val="20"/>
          <w:szCs w:val="20"/>
        </w:rPr>
      </w:pPr>
    </w:p>
    <w:p w14:paraId="081AE82D" w14:textId="77777777" w:rsidR="001678E2" w:rsidRPr="00695F04" w:rsidRDefault="001678E2" w:rsidP="001678E2">
      <w:pPr>
        <w:pStyle w:val="Default"/>
        <w:ind w:left="120"/>
        <w:rPr>
          <w:rFonts w:ascii="Georgia" w:eastAsia="Arial" w:hAnsi="Georgia" w:cs="Arial"/>
          <w:color w:val="auto"/>
          <w:sz w:val="20"/>
          <w:szCs w:val="20"/>
        </w:rPr>
      </w:pPr>
      <w:r>
        <w:rPr>
          <w:rFonts w:ascii="Georgia" w:eastAsia="Arial" w:hAnsi="Georgia" w:cs="Arial"/>
          <w:b/>
          <w:color w:val="auto"/>
          <w:sz w:val="20"/>
          <w:szCs w:val="20"/>
        </w:rPr>
        <w:t>Clearing Services</w:t>
      </w:r>
    </w:p>
    <w:p w14:paraId="0B49B87A" w14:textId="77777777" w:rsidR="001678E2" w:rsidRDefault="001678E2" w:rsidP="001678E2">
      <w:pPr>
        <w:pStyle w:val="Default"/>
        <w:ind w:left="120"/>
        <w:rPr>
          <w:rFonts w:ascii="Georgia" w:eastAsia="Arial" w:hAnsi="Georgia" w:cs="Arial"/>
          <w:color w:val="auto"/>
          <w:sz w:val="20"/>
          <w:szCs w:val="20"/>
        </w:rPr>
      </w:pPr>
      <w:r>
        <w:rPr>
          <w:rFonts w:ascii="Georgia" w:eastAsia="Arial" w:hAnsi="Georgia" w:cs="Arial"/>
          <w:color w:val="auto"/>
          <w:sz w:val="20"/>
          <w:szCs w:val="20"/>
        </w:rPr>
        <w:t>We have</w:t>
      </w:r>
      <w:r w:rsidRPr="00A049CF">
        <w:rPr>
          <w:rFonts w:ascii="Georgia" w:eastAsia="Arial" w:hAnsi="Georgia" w:cs="Arial"/>
          <w:color w:val="auto"/>
          <w:sz w:val="20"/>
          <w:szCs w:val="20"/>
        </w:rPr>
        <w:t xml:space="preserve"> entered into an agreement with First Clearing </w:t>
      </w:r>
      <w:r>
        <w:rPr>
          <w:rFonts w:ascii="Georgia" w:eastAsia="Arial" w:hAnsi="Georgia" w:cs="Arial"/>
          <w:color w:val="auto"/>
          <w:sz w:val="20"/>
          <w:szCs w:val="20"/>
        </w:rPr>
        <w:t xml:space="preserve">(also referred to herein as “Clearing Agent”) </w:t>
      </w:r>
      <w:r w:rsidRPr="00A049CF">
        <w:rPr>
          <w:rFonts w:ascii="Georgia" w:eastAsia="Arial" w:hAnsi="Georgia" w:cs="Arial"/>
          <w:color w:val="auto"/>
          <w:sz w:val="20"/>
          <w:szCs w:val="20"/>
        </w:rPr>
        <w:t xml:space="preserve">to carry your account and provide certain back office functions. </w:t>
      </w:r>
      <w:r>
        <w:rPr>
          <w:rFonts w:ascii="Georgia" w:eastAsia="Arial" w:hAnsi="Georgia" w:cs="Arial"/>
          <w:color w:val="auto"/>
          <w:sz w:val="20"/>
          <w:szCs w:val="20"/>
        </w:rPr>
        <w:t xml:space="preserve">We and </w:t>
      </w:r>
      <w:r w:rsidRPr="00A049CF">
        <w:rPr>
          <w:rFonts w:ascii="Georgia" w:eastAsia="Arial" w:hAnsi="Georgia" w:cs="Arial"/>
          <w:color w:val="auto"/>
          <w:sz w:val="20"/>
          <w:szCs w:val="20"/>
        </w:rPr>
        <w:t>First Clearing share responsibilities with respect to your account</w:t>
      </w:r>
      <w:r>
        <w:rPr>
          <w:rFonts w:ascii="Georgia" w:eastAsia="Arial" w:hAnsi="Georgia" w:cs="Arial"/>
          <w:color w:val="auto"/>
          <w:sz w:val="20"/>
          <w:szCs w:val="20"/>
        </w:rPr>
        <w:t xml:space="preserve"> as set forth in the Designation of Responsibilities that was delivered to you upon opening of your account.  Please refer to the Designation of Responsibilities for more information on how such responsibilities have been allocated between us.</w:t>
      </w:r>
    </w:p>
    <w:p w14:paraId="2636E7A7" w14:textId="77777777" w:rsidR="001678E2" w:rsidRDefault="001678E2" w:rsidP="001678E2">
      <w:pPr>
        <w:pStyle w:val="Default"/>
        <w:ind w:left="120"/>
        <w:rPr>
          <w:rFonts w:ascii="Georgia" w:eastAsia="Arial" w:hAnsi="Georgia" w:cs="Arial"/>
          <w:color w:val="auto"/>
          <w:sz w:val="20"/>
          <w:szCs w:val="20"/>
        </w:rPr>
      </w:pPr>
    </w:p>
    <w:p w14:paraId="2361C883" w14:textId="77777777" w:rsidR="001678E2" w:rsidRDefault="001678E2" w:rsidP="001678E2">
      <w:pPr>
        <w:pStyle w:val="Default"/>
        <w:ind w:left="90" w:firstLine="30"/>
        <w:rPr>
          <w:rFonts w:ascii="Georgia" w:eastAsia="Arial" w:hAnsi="Georgia" w:cs="Arial"/>
          <w:b/>
          <w:bCs/>
          <w:color w:val="auto"/>
          <w:sz w:val="20"/>
          <w:szCs w:val="20"/>
        </w:rPr>
      </w:pPr>
      <w:r>
        <w:rPr>
          <w:rFonts w:ascii="Georgia" w:eastAsia="Arial" w:hAnsi="Georgia" w:cs="Arial"/>
          <w:b/>
          <w:bCs/>
          <w:color w:val="auto"/>
          <w:sz w:val="20"/>
          <w:szCs w:val="20"/>
        </w:rPr>
        <w:t>Understanding Risk</w:t>
      </w:r>
    </w:p>
    <w:p w14:paraId="79561111" w14:textId="77777777" w:rsidR="001678E2" w:rsidRDefault="001678E2" w:rsidP="001678E2">
      <w:pPr>
        <w:pStyle w:val="Heading2"/>
        <w:rPr>
          <w:rFonts w:ascii="Georgia" w:hAnsi="Georgia"/>
          <w:b w:val="0"/>
          <w:bCs w:val="0"/>
        </w:rPr>
      </w:pPr>
      <w:r>
        <w:rPr>
          <w:rFonts w:ascii="Georgia" w:hAnsi="Georgia"/>
          <w:b w:val="0"/>
          <w:bCs w:val="0"/>
        </w:rPr>
        <w:t xml:space="preserve">It is important for you to understand that all investment recommendations and activities involve risk, including the risk that you may lose your entire principal. Further, some investments involve more risk than other investments. </w:t>
      </w:r>
      <w:r w:rsidRPr="00CC739F">
        <w:rPr>
          <w:rFonts w:ascii="Georgia" w:hAnsi="Georgia"/>
          <w:b w:val="0"/>
          <w:bCs w:val="0"/>
        </w:rPr>
        <w:t xml:space="preserve">Higher-risk investments may have the potential for higher returns but also for greater losses. The higher your </w:t>
      </w:r>
      <w:r>
        <w:rPr>
          <w:rFonts w:ascii="Georgia" w:hAnsi="Georgia"/>
          <w:b w:val="0"/>
          <w:bCs w:val="0"/>
        </w:rPr>
        <w:t>“</w:t>
      </w:r>
      <w:r w:rsidRPr="00CC739F">
        <w:rPr>
          <w:rFonts w:ascii="Georgia" w:hAnsi="Georgia"/>
          <w:b w:val="0"/>
          <w:bCs w:val="0"/>
        </w:rPr>
        <w:t>risk tolerance,</w:t>
      </w:r>
      <w:r>
        <w:rPr>
          <w:rFonts w:ascii="Georgia" w:hAnsi="Georgia"/>
          <w:b w:val="0"/>
          <w:bCs w:val="0"/>
        </w:rPr>
        <w:t xml:space="preserve">” meaning </w:t>
      </w:r>
      <w:r w:rsidRPr="00CC739F">
        <w:rPr>
          <w:rFonts w:ascii="Georgia" w:hAnsi="Georgia"/>
          <w:b w:val="0"/>
          <w:bCs w:val="0"/>
        </w:rPr>
        <w:t xml:space="preserve">the amount of risk or loss </w:t>
      </w:r>
      <w:r>
        <w:rPr>
          <w:rFonts w:ascii="Georgia" w:hAnsi="Georgia"/>
          <w:b w:val="0"/>
          <w:bCs w:val="0"/>
        </w:rPr>
        <w:t>you are</w:t>
      </w:r>
      <w:r w:rsidRPr="00CC739F">
        <w:rPr>
          <w:rFonts w:ascii="Georgia" w:hAnsi="Georgia"/>
          <w:b w:val="0"/>
          <w:bCs w:val="0"/>
        </w:rPr>
        <w:t xml:space="preserve"> willing and able to accept in order to achieve </w:t>
      </w:r>
      <w:r>
        <w:rPr>
          <w:rFonts w:ascii="Georgia" w:hAnsi="Georgia"/>
          <w:b w:val="0"/>
          <w:bCs w:val="0"/>
        </w:rPr>
        <w:t>your investment</w:t>
      </w:r>
      <w:r w:rsidRPr="00CC739F">
        <w:rPr>
          <w:rFonts w:ascii="Georgia" w:hAnsi="Georgia"/>
          <w:b w:val="0"/>
          <w:bCs w:val="0"/>
        </w:rPr>
        <w:t xml:space="preserve"> goals</w:t>
      </w:r>
      <w:r>
        <w:rPr>
          <w:rFonts w:ascii="Georgia" w:hAnsi="Georgia"/>
          <w:b w:val="0"/>
          <w:bCs w:val="0"/>
        </w:rPr>
        <w:t>,</w:t>
      </w:r>
      <w:r w:rsidRPr="00CC739F">
        <w:rPr>
          <w:rFonts w:ascii="Georgia" w:hAnsi="Georgia"/>
          <w:b w:val="0"/>
          <w:bCs w:val="0"/>
        </w:rPr>
        <w:t xml:space="preserve"> the more you may </w:t>
      </w:r>
      <w:r>
        <w:rPr>
          <w:rFonts w:ascii="Georgia" w:hAnsi="Georgia"/>
          <w:b w:val="0"/>
          <w:bCs w:val="0"/>
        </w:rPr>
        <w:t xml:space="preserve">decide to </w:t>
      </w:r>
      <w:r w:rsidRPr="00CC739F">
        <w:rPr>
          <w:rFonts w:ascii="Georgia" w:hAnsi="Georgia"/>
          <w:b w:val="0"/>
          <w:bCs w:val="0"/>
        </w:rPr>
        <w:t>invest in higher-</w:t>
      </w:r>
      <w:r w:rsidRPr="00CC739F">
        <w:rPr>
          <w:rFonts w:ascii="Georgia" w:hAnsi="Georgia"/>
          <w:b w:val="0"/>
          <w:bCs w:val="0"/>
        </w:rPr>
        <w:lastRenderedPageBreak/>
        <w:t xml:space="preserve">risk </w:t>
      </w:r>
      <w:r>
        <w:rPr>
          <w:rFonts w:ascii="Georgia" w:hAnsi="Georgia"/>
          <w:b w:val="0"/>
          <w:bCs w:val="0"/>
        </w:rPr>
        <w:t>investments</w:t>
      </w:r>
      <w:r w:rsidRPr="00CC739F">
        <w:rPr>
          <w:rFonts w:ascii="Georgia" w:hAnsi="Georgia"/>
          <w:b w:val="0"/>
          <w:bCs w:val="0"/>
        </w:rPr>
        <w:t xml:space="preserve"> offering the potential for greater returns. </w:t>
      </w:r>
      <w:r>
        <w:rPr>
          <w:rFonts w:ascii="Georgia" w:hAnsi="Georgia"/>
          <w:b w:val="0"/>
          <w:bCs w:val="0"/>
        </w:rPr>
        <w:t>We align</w:t>
      </w:r>
      <w:r w:rsidRPr="00CC739F">
        <w:rPr>
          <w:rFonts w:ascii="Georgia" w:hAnsi="Georgia"/>
          <w:b w:val="0"/>
          <w:bCs w:val="0"/>
        </w:rPr>
        <w:t xml:space="preserve"> risk tolerances with investment needs</w:t>
      </w:r>
      <w:r>
        <w:rPr>
          <w:rFonts w:ascii="Georgia" w:hAnsi="Georgia"/>
          <w:b w:val="0"/>
          <w:bCs w:val="0"/>
        </w:rPr>
        <w:t xml:space="preserve"> </w:t>
      </w:r>
      <w:r w:rsidRPr="00A049CF">
        <w:rPr>
          <w:rFonts w:ascii="Georgia" w:hAnsi="Georgia"/>
          <w:b w:val="0"/>
          <w:bCs w:val="0"/>
        </w:rPr>
        <w:t>to offer you different investment objectives</w:t>
      </w:r>
      <w:r w:rsidRPr="00CC739F">
        <w:rPr>
          <w:rFonts w:ascii="Georgia" w:hAnsi="Georgia"/>
          <w:b w:val="0"/>
          <w:bCs w:val="0"/>
        </w:rPr>
        <w:t xml:space="preserve"> from which to choose</w:t>
      </w:r>
      <w:r>
        <w:rPr>
          <w:rFonts w:ascii="Georgia" w:hAnsi="Georgia"/>
          <w:b w:val="0"/>
          <w:bCs w:val="0"/>
        </w:rPr>
        <w:t xml:space="preserve"> (see below)</w:t>
      </w:r>
      <w:r w:rsidRPr="00CC739F">
        <w:rPr>
          <w:rFonts w:ascii="Georgia" w:hAnsi="Georgia"/>
          <w:b w:val="0"/>
          <w:bCs w:val="0"/>
        </w:rPr>
        <w:t xml:space="preserve">. </w:t>
      </w:r>
      <w:r>
        <w:rPr>
          <w:rFonts w:ascii="Georgia" w:hAnsi="Georgia"/>
          <w:b w:val="0"/>
          <w:bCs w:val="0"/>
        </w:rPr>
        <w:t xml:space="preserve">You should select the investment objective and risk tolerance best aligned with your brokerage account goals and needs. </w:t>
      </w:r>
    </w:p>
    <w:p w14:paraId="75D9C451" w14:textId="77777777" w:rsidR="001678E2" w:rsidRDefault="001678E2" w:rsidP="001678E2">
      <w:pPr>
        <w:pStyle w:val="Heading2"/>
        <w:rPr>
          <w:rFonts w:ascii="Georgia" w:hAnsi="Georgia"/>
          <w:b w:val="0"/>
          <w:bCs w:val="0"/>
        </w:rPr>
      </w:pPr>
    </w:p>
    <w:p w14:paraId="3E4D3D1B" w14:textId="77777777" w:rsidR="001678E2" w:rsidRDefault="001678E2" w:rsidP="001678E2">
      <w:pPr>
        <w:pStyle w:val="Heading2"/>
        <w:rPr>
          <w:rFonts w:ascii="Georgia" w:hAnsi="Georgia"/>
          <w:b w:val="0"/>
          <w:bCs w:val="0"/>
        </w:rPr>
      </w:pPr>
    </w:p>
    <w:p w14:paraId="342DFB04" w14:textId="77777777" w:rsidR="001678E2" w:rsidRPr="00677A3B" w:rsidRDefault="001678E2" w:rsidP="001678E2">
      <w:pPr>
        <w:pStyle w:val="Heading2"/>
        <w:rPr>
          <w:rFonts w:ascii="Georgia" w:hAnsi="Georgia"/>
          <w:b w:val="0"/>
          <w:bCs w:val="0"/>
        </w:rPr>
      </w:pPr>
      <w:r w:rsidRPr="00677A3B">
        <w:rPr>
          <w:rFonts w:ascii="Georgia" w:hAnsi="Georgia"/>
          <w:b w:val="0"/>
          <w:bCs w:val="0"/>
        </w:rPr>
        <w:t xml:space="preserve">Investment goals typically have different time horizons and different income and growth objectives. Generally, investment goals are on a spectrum, with “Income” investors typically holding the smallest percentage of higher- risk investments, followed by “Growth and Income” investors holding </w:t>
      </w:r>
      <w:r w:rsidRPr="00677A3B">
        <w:rPr>
          <w:rFonts w:ascii="Georgia" w:hAnsi="Georgia"/>
          <w:b w:val="0"/>
          <w:bCs w:val="0"/>
          <w:i/>
        </w:rPr>
        <w:t>some</w:t>
      </w:r>
      <w:r w:rsidRPr="00677A3B">
        <w:rPr>
          <w:rFonts w:ascii="Georgia" w:hAnsi="Georgia"/>
          <w:b w:val="0"/>
          <w:bCs w:val="0"/>
        </w:rPr>
        <w:t xml:space="preserve"> higher-risk investments, and finally “Growth” investors holding a significant portion of their portfolio in higher-risk investments. Risk tolerance also </w:t>
      </w:r>
      <w:proofErr w:type="gramStart"/>
      <w:r w:rsidRPr="00677A3B">
        <w:rPr>
          <w:rFonts w:ascii="Georgia" w:hAnsi="Georgia"/>
          <w:b w:val="0"/>
          <w:bCs w:val="0"/>
        </w:rPr>
        <w:t>varies</w:t>
      </w:r>
      <w:proofErr w:type="gramEnd"/>
      <w:r w:rsidRPr="00677A3B">
        <w:rPr>
          <w:rFonts w:ascii="Georgia" w:hAnsi="Georgia"/>
          <w:b w:val="0"/>
          <w:bCs w:val="0"/>
        </w:rPr>
        <w:t xml:space="preserve"> and we measure it on a continuum that increases from “Conservative” to “Moderate” to “Aggressive,” and finally “Trading and Speculation.” See the chart below for details.</w:t>
      </w:r>
    </w:p>
    <w:p w14:paraId="6303A9DC" w14:textId="77777777" w:rsidR="001678E2" w:rsidRPr="00677A3B" w:rsidRDefault="001678E2" w:rsidP="001678E2">
      <w:pPr>
        <w:pStyle w:val="Heading2"/>
        <w:rPr>
          <w:rFonts w:ascii="Georgia" w:hAnsi="Georgia"/>
          <w:b w:val="0"/>
          <w:bCs w:val="0"/>
        </w:rPr>
      </w:pPr>
      <w:r w:rsidRPr="00677A3B">
        <w:rPr>
          <w:rFonts w:ascii="Georgia" w:hAnsi="Georgia"/>
          <w:b w:val="0"/>
          <w:bCs w:val="0"/>
        </w:rPr>
        <w:t>  </w:t>
      </w:r>
    </w:p>
    <w:tbl>
      <w:tblPr>
        <w:tblStyle w:val="TableGrid"/>
        <w:tblW w:w="0" w:type="auto"/>
        <w:jc w:val="center"/>
        <w:tblLook w:val="04A0" w:firstRow="1" w:lastRow="0" w:firstColumn="1" w:lastColumn="0" w:noHBand="0" w:noVBand="1"/>
      </w:tblPr>
      <w:tblGrid>
        <w:gridCol w:w="1246"/>
        <w:gridCol w:w="2075"/>
        <w:gridCol w:w="1413"/>
        <w:gridCol w:w="4616"/>
      </w:tblGrid>
      <w:tr w:rsidR="001678E2" w:rsidRPr="00677A3B" w14:paraId="1D3AADFE" w14:textId="77777777" w:rsidTr="005546CB">
        <w:trPr>
          <w:trHeight w:val="497"/>
          <w:jc w:val="center"/>
        </w:trPr>
        <w:tc>
          <w:tcPr>
            <w:tcW w:w="1255" w:type="dxa"/>
          </w:tcPr>
          <w:p w14:paraId="1E983BDC" w14:textId="77777777" w:rsidR="001678E2" w:rsidRPr="00677A3B" w:rsidRDefault="001678E2" w:rsidP="005546CB">
            <w:pPr>
              <w:widowControl/>
              <w:adjustRightInd w:val="0"/>
              <w:spacing w:before="100" w:after="100"/>
              <w:rPr>
                <w:rFonts w:ascii="Georgia" w:eastAsiaTheme="minorHAnsi" w:hAnsi="Georgia" w:cs="Times New Roman"/>
                <w:b/>
                <w:sz w:val="16"/>
                <w:szCs w:val="16"/>
              </w:rPr>
            </w:pPr>
            <w:r w:rsidRPr="00677A3B">
              <w:rPr>
                <w:rFonts w:ascii="Georgia" w:eastAsiaTheme="minorHAnsi" w:hAnsi="Georgia" w:cs="Times New Roman"/>
                <w:b/>
                <w:sz w:val="16"/>
                <w:szCs w:val="16"/>
              </w:rPr>
              <w:t>Investment Objective</w:t>
            </w:r>
          </w:p>
        </w:tc>
        <w:tc>
          <w:tcPr>
            <w:tcW w:w="2160" w:type="dxa"/>
          </w:tcPr>
          <w:p w14:paraId="513D1FB8" w14:textId="77777777" w:rsidR="001678E2" w:rsidRPr="00677A3B" w:rsidRDefault="001678E2" w:rsidP="005546CB">
            <w:pPr>
              <w:widowControl/>
              <w:adjustRightInd w:val="0"/>
              <w:spacing w:before="100" w:after="100"/>
              <w:rPr>
                <w:rFonts w:ascii="Georgia" w:eastAsiaTheme="minorHAnsi" w:hAnsi="Georgia" w:cs="Times New Roman"/>
                <w:b/>
                <w:sz w:val="16"/>
                <w:szCs w:val="16"/>
              </w:rPr>
            </w:pPr>
            <w:r w:rsidRPr="00677A3B">
              <w:rPr>
                <w:rFonts w:ascii="Georgia" w:eastAsiaTheme="minorHAnsi" w:hAnsi="Georgia" w:cs="Times New Roman"/>
                <w:b/>
                <w:sz w:val="16"/>
                <w:szCs w:val="16"/>
              </w:rPr>
              <w:t>Investment Objective Description</w:t>
            </w:r>
          </w:p>
        </w:tc>
        <w:tc>
          <w:tcPr>
            <w:tcW w:w="1440" w:type="dxa"/>
            <w:shd w:val="clear" w:color="auto" w:fill="F2F2F2" w:themeFill="background1" w:themeFillShade="F2"/>
          </w:tcPr>
          <w:p w14:paraId="30F6A38C" w14:textId="77777777" w:rsidR="001678E2" w:rsidRPr="00677A3B" w:rsidRDefault="001678E2" w:rsidP="005546CB">
            <w:pPr>
              <w:widowControl/>
              <w:adjustRightInd w:val="0"/>
              <w:spacing w:before="100" w:after="100"/>
              <w:jc w:val="center"/>
              <w:rPr>
                <w:rFonts w:ascii="Georgia" w:eastAsiaTheme="minorHAnsi" w:hAnsi="Georgia" w:cs="Times New Roman"/>
                <w:b/>
                <w:sz w:val="16"/>
                <w:szCs w:val="16"/>
              </w:rPr>
            </w:pPr>
            <w:r w:rsidRPr="00677A3B">
              <w:rPr>
                <w:rFonts w:ascii="Georgia" w:eastAsiaTheme="minorHAnsi" w:hAnsi="Georgia" w:cs="Times New Roman"/>
                <w:b/>
                <w:sz w:val="16"/>
                <w:szCs w:val="16"/>
              </w:rPr>
              <w:t>Risk Tolerance</w:t>
            </w:r>
          </w:p>
        </w:tc>
        <w:tc>
          <w:tcPr>
            <w:tcW w:w="4950" w:type="dxa"/>
            <w:shd w:val="clear" w:color="auto" w:fill="BFBFBF" w:themeFill="background1" w:themeFillShade="BF"/>
          </w:tcPr>
          <w:p w14:paraId="00ECF333" w14:textId="77777777" w:rsidR="001678E2" w:rsidRPr="00677A3B" w:rsidRDefault="001678E2" w:rsidP="005546CB">
            <w:pPr>
              <w:widowControl/>
              <w:adjustRightInd w:val="0"/>
              <w:spacing w:before="100" w:after="100"/>
              <w:rPr>
                <w:rFonts w:ascii="Georgia" w:eastAsiaTheme="minorHAnsi" w:hAnsi="Georgia" w:cs="Times New Roman"/>
                <w:b/>
                <w:sz w:val="16"/>
                <w:szCs w:val="16"/>
              </w:rPr>
            </w:pPr>
            <w:r w:rsidRPr="00677A3B">
              <w:rPr>
                <w:rFonts w:ascii="Georgia" w:eastAsiaTheme="minorHAnsi" w:hAnsi="Georgia" w:cs="Times New Roman"/>
                <w:b/>
                <w:sz w:val="16"/>
                <w:szCs w:val="16"/>
              </w:rPr>
              <w:t>Risk Tolerance Definition</w:t>
            </w:r>
          </w:p>
        </w:tc>
      </w:tr>
      <w:tr w:rsidR="001678E2" w:rsidRPr="00677A3B" w14:paraId="3CA3E02E" w14:textId="77777777" w:rsidTr="005546CB">
        <w:trPr>
          <w:trHeight w:val="641"/>
          <w:jc w:val="center"/>
        </w:trPr>
        <w:tc>
          <w:tcPr>
            <w:tcW w:w="1255" w:type="dxa"/>
            <w:vMerge w:val="restart"/>
            <w:vAlign w:val="center"/>
          </w:tcPr>
          <w:p w14:paraId="6F31A12B" w14:textId="77777777" w:rsidR="001678E2" w:rsidRPr="00677A3B" w:rsidRDefault="001678E2" w:rsidP="005546CB">
            <w:pPr>
              <w:widowControl/>
              <w:adjustRightInd w:val="0"/>
              <w:spacing w:before="100" w:after="100"/>
              <w:rPr>
                <w:rFonts w:ascii="Georgia" w:eastAsiaTheme="minorHAnsi" w:hAnsi="Georgia" w:cs="Times New Roman"/>
                <w:sz w:val="16"/>
                <w:szCs w:val="16"/>
              </w:rPr>
            </w:pPr>
            <w:r w:rsidRPr="00677A3B">
              <w:rPr>
                <w:rFonts w:ascii="Georgia" w:eastAsiaTheme="minorHAnsi" w:hAnsi="Georgia" w:cs="Times New Roman"/>
                <w:sz w:val="16"/>
                <w:szCs w:val="16"/>
              </w:rPr>
              <w:t>Income</w:t>
            </w:r>
          </w:p>
        </w:tc>
        <w:tc>
          <w:tcPr>
            <w:tcW w:w="2160" w:type="dxa"/>
            <w:vMerge w:val="restart"/>
            <w:vAlign w:val="center"/>
          </w:tcPr>
          <w:p w14:paraId="5E00E74B" w14:textId="77777777" w:rsidR="001678E2" w:rsidRPr="00677A3B" w:rsidRDefault="001678E2" w:rsidP="005546CB">
            <w:pPr>
              <w:widowControl/>
              <w:adjustRightInd w:val="0"/>
              <w:spacing w:before="100" w:after="100"/>
              <w:rPr>
                <w:rFonts w:ascii="Georgia" w:eastAsiaTheme="minorHAnsi" w:hAnsi="Georgia" w:cs="Times New Roman"/>
                <w:sz w:val="16"/>
                <w:szCs w:val="16"/>
              </w:rPr>
            </w:pPr>
            <w:r w:rsidRPr="00677A3B">
              <w:rPr>
                <w:rFonts w:ascii="Georgia" w:hAnsi="Georgia"/>
                <w:sz w:val="16"/>
                <w:szCs w:val="16"/>
              </w:rPr>
              <w:t>Income portfolios emphasize current income with minimal consideration for capital appreciation and usually have less exposure to more volatile growth assets.</w:t>
            </w:r>
          </w:p>
        </w:tc>
        <w:tc>
          <w:tcPr>
            <w:tcW w:w="1440" w:type="dxa"/>
            <w:shd w:val="clear" w:color="auto" w:fill="F2F2F2" w:themeFill="background1" w:themeFillShade="F2"/>
            <w:vAlign w:val="center"/>
          </w:tcPr>
          <w:p w14:paraId="63B6036F" w14:textId="77777777" w:rsidR="001678E2" w:rsidRPr="00677A3B" w:rsidRDefault="001678E2" w:rsidP="005546CB">
            <w:pPr>
              <w:widowControl/>
              <w:adjustRightInd w:val="0"/>
              <w:spacing w:before="100" w:after="100"/>
              <w:jc w:val="center"/>
              <w:rPr>
                <w:rFonts w:ascii="Georgia" w:eastAsiaTheme="minorHAnsi" w:hAnsi="Georgia" w:cs="Times New Roman"/>
                <w:sz w:val="16"/>
                <w:szCs w:val="16"/>
              </w:rPr>
            </w:pPr>
            <w:r w:rsidRPr="00677A3B">
              <w:rPr>
                <w:rFonts w:ascii="Georgia" w:eastAsiaTheme="minorHAnsi" w:hAnsi="Georgia" w:cs="Times New Roman"/>
                <w:sz w:val="16"/>
                <w:szCs w:val="16"/>
              </w:rPr>
              <w:t>Conservative</w:t>
            </w:r>
          </w:p>
        </w:tc>
        <w:tc>
          <w:tcPr>
            <w:tcW w:w="4950" w:type="dxa"/>
            <w:shd w:val="clear" w:color="auto" w:fill="BFBFBF" w:themeFill="background1" w:themeFillShade="BF"/>
            <w:vAlign w:val="center"/>
          </w:tcPr>
          <w:p w14:paraId="58AE9556" w14:textId="77777777" w:rsidR="001678E2" w:rsidRPr="00677A3B" w:rsidRDefault="001678E2" w:rsidP="005546CB">
            <w:pPr>
              <w:widowControl/>
              <w:adjustRightInd w:val="0"/>
              <w:spacing w:before="100" w:after="100"/>
              <w:rPr>
                <w:rFonts w:ascii="Georgia" w:hAnsi="Georgia"/>
                <w:sz w:val="16"/>
                <w:szCs w:val="16"/>
              </w:rPr>
            </w:pPr>
            <w:r w:rsidRPr="00677A3B">
              <w:rPr>
                <w:rFonts w:ascii="Georgia" w:hAnsi="Georgia"/>
                <w:sz w:val="16"/>
                <w:szCs w:val="16"/>
              </w:rPr>
              <w:t xml:space="preserve">Conservative Income investors generally assume lower </w:t>
            </w:r>
            <w:proofErr w:type="gramStart"/>
            <w:r w:rsidRPr="00677A3B">
              <w:rPr>
                <w:rFonts w:ascii="Georgia" w:hAnsi="Georgia"/>
                <w:sz w:val="16"/>
                <w:szCs w:val="16"/>
              </w:rPr>
              <w:t>risk, but</w:t>
            </w:r>
            <w:proofErr w:type="gramEnd"/>
            <w:r w:rsidRPr="00677A3B">
              <w:rPr>
                <w:rFonts w:ascii="Georgia" w:hAnsi="Georgia"/>
                <w:sz w:val="16"/>
                <w:szCs w:val="16"/>
              </w:rPr>
              <w:t xml:space="preserve"> may still experience losses or have lower expected income returns.</w:t>
            </w:r>
          </w:p>
        </w:tc>
      </w:tr>
      <w:tr w:rsidR="001678E2" w:rsidRPr="00677A3B" w14:paraId="78E3B5B7" w14:textId="77777777" w:rsidTr="005546CB">
        <w:trPr>
          <w:trHeight w:val="650"/>
          <w:jc w:val="center"/>
        </w:trPr>
        <w:tc>
          <w:tcPr>
            <w:tcW w:w="1255" w:type="dxa"/>
            <w:vMerge/>
          </w:tcPr>
          <w:p w14:paraId="75DC19AD" w14:textId="77777777" w:rsidR="001678E2" w:rsidRPr="00677A3B" w:rsidRDefault="001678E2" w:rsidP="005546CB">
            <w:pPr>
              <w:widowControl/>
              <w:adjustRightInd w:val="0"/>
              <w:spacing w:before="100" w:after="100"/>
              <w:rPr>
                <w:rFonts w:ascii="Georgia" w:eastAsiaTheme="minorHAnsi" w:hAnsi="Georgia" w:cs="Times New Roman"/>
                <w:sz w:val="16"/>
                <w:szCs w:val="16"/>
              </w:rPr>
            </w:pPr>
          </w:p>
        </w:tc>
        <w:tc>
          <w:tcPr>
            <w:tcW w:w="2160" w:type="dxa"/>
            <w:vMerge/>
          </w:tcPr>
          <w:p w14:paraId="17D2014E" w14:textId="77777777" w:rsidR="001678E2" w:rsidRPr="00677A3B" w:rsidRDefault="001678E2" w:rsidP="005546CB">
            <w:pPr>
              <w:widowControl/>
              <w:adjustRightInd w:val="0"/>
              <w:spacing w:before="100" w:after="100"/>
              <w:rPr>
                <w:rFonts w:ascii="Georgia" w:hAnsi="Georgia"/>
                <w:sz w:val="16"/>
                <w:szCs w:val="16"/>
              </w:rPr>
            </w:pPr>
          </w:p>
        </w:tc>
        <w:tc>
          <w:tcPr>
            <w:tcW w:w="1440" w:type="dxa"/>
            <w:shd w:val="clear" w:color="auto" w:fill="F2F2F2" w:themeFill="background1" w:themeFillShade="F2"/>
            <w:vAlign w:val="center"/>
          </w:tcPr>
          <w:p w14:paraId="6E88BFC3" w14:textId="77777777" w:rsidR="001678E2" w:rsidRPr="00677A3B" w:rsidRDefault="001678E2" w:rsidP="005546CB">
            <w:pPr>
              <w:widowControl/>
              <w:adjustRightInd w:val="0"/>
              <w:spacing w:before="100" w:after="100"/>
              <w:jc w:val="center"/>
              <w:rPr>
                <w:rFonts w:ascii="Georgia" w:eastAsiaTheme="minorHAnsi" w:hAnsi="Georgia" w:cs="Times New Roman"/>
                <w:sz w:val="16"/>
                <w:szCs w:val="16"/>
              </w:rPr>
            </w:pPr>
            <w:r w:rsidRPr="00677A3B">
              <w:rPr>
                <w:rFonts w:ascii="Georgia" w:eastAsiaTheme="minorHAnsi" w:hAnsi="Georgia" w:cs="Times New Roman"/>
                <w:sz w:val="16"/>
                <w:szCs w:val="16"/>
              </w:rPr>
              <w:t>Moderate</w:t>
            </w:r>
          </w:p>
        </w:tc>
        <w:tc>
          <w:tcPr>
            <w:tcW w:w="4950" w:type="dxa"/>
            <w:shd w:val="clear" w:color="auto" w:fill="BFBFBF" w:themeFill="background1" w:themeFillShade="BF"/>
            <w:vAlign w:val="center"/>
          </w:tcPr>
          <w:p w14:paraId="0F317F0C" w14:textId="77777777" w:rsidR="001678E2" w:rsidRPr="00677A3B" w:rsidRDefault="001678E2" w:rsidP="005546CB">
            <w:pPr>
              <w:widowControl/>
              <w:adjustRightInd w:val="0"/>
              <w:spacing w:before="100" w:after="100"/>
              <w:rPr>
                <w:rFonts w:ascii="Georgia" w:hAnsi="Georgia"/>
                <w:sz w:val="16"/>
                <w:szCs w:val="16"/>
              </w:rPr>
            </w:pPr>
            <w:r w:rsidRPr="00677A3B">
              <w:rPr>
                <w:rFonts w:ascii="Georgia" w:hAnsi="Georgia"/>
                <w:sz w:val="16"/>
                <w:szCs w:val="16"/>
              </w:rPr>
              <w:t>Moderate Income investors are willing to accept a modest level of risk that may result in increased losses in exchange for the potential to receive modest income returns.</w:t>
            </w:r>
          </w:p>
        </w:tc>
      </w:tr>
      <w:tr w:rsidR="001678E2" w:rsidRPr="00677A3B" w14:paraId="426559F3" w14:textId="77777777" w:rsidTr="005546CB">
        <w:trPr>
          <w:trHeight w:val="677"/>
          <w:jc w:val="center"/>
        </w:trPr>
        <w:tc>
          <w:tcPr>
            <w:tcW w:w="1255" w:type="dxa"/>
            <w:vMerge/>
            <w:tcBorders>
              <w:bottom w:val="thinThickSmallGap" w:sz="24" w:space="0" w:color="auto"/>
            </w:tcBorders>
          </w:tcPr>
          <w:p w14:paraId="52BF1CD3" w14:textId="77777777" w:rsidR="001678E2" w:rsidRPr="00677A3B" w:rsidRDefault="001678E2" w:rsidP="005546CB">
            <w:pPr>
              <w:widowControl/>
              <w:adjustRightInd w:val="0"/>
              <w:spacing w:before="100" w:after="100"/>
              <w:rPr>
                <w:rFonts w:ascii="Georgia" w:eastAsiaTheme="minorHAnsi" w:hAnsi="Georgia" w:cs="Times New Roman"/>
                <w:sz w:val="16"/>
                <w:szCs w:val="16"/>
              </w:rPr>
            </w:pPr>
          </w:p>
        </w:tc>
        <w:tc>
          <w:tcPr>
            <w:tcW w:w="2160" w:type="dxa"/>
            <w:vMerge/>
            <w:tcBorders>
              <w:bottom w:val="thinThickSmallGap" w:sz="24" w:space="0" w:color="auto"/>
            </w:tcBorders>
          </w:tcPr>
          <w:p w14:paraId="08C1A17F" w14:textId="77777777" w:rsidR="001678E2" w:rsidRPr="00677A3B" w:rsidRDefault="001678E2" w:rsidP="005546CB">
            <w:pPr>
              <w:widowControl/>
              <w:adjustRightInd w:val="0"/>
              <w:spacing w:before="100" w:after="100"/>
              <w:rPr>
                <w:rFonts w:ascii="Georgia" w:eastAsiaTheme="minorHAnsi" w:hAnsi="Georgia" w:cs="Times New Roman"/>
                <w:sz w:val="16"/>
                <w:szCs w:val="16"/>
              </w:rPr>
            </w:pPr>
          </w:p>
        </w:tc>
        <w:tc>
          <w:tcPr>
            <w:tcW w:w="1440" w:type="dxa"/>
            <w:tcBorders>
              <w:bottom w:val="thinThickSmallGap" w:sz="24" w:space="0" w:color="auto"/>
            </w:tcBorders>
            <w:shd w:val="clear" w:color="auto" w:fill="F2F2F2" w:themeFill="background1" w:themeFillShade="F2"/>
            <w:vAlign w:val="center"/>
          </w:tcPr>
          <w:p w14:paraId="075D4C9F" w14:textId="77777777" w:rsidR="001678E2" w:rsidRPr="00677A3B" w:rsidRDefault="001678E2" w:rsidP="005546CB">
            <w:pPr>
              <w:widowControl/>
              <w:adjustRightInd w:val="0"/>
              <w:spacing w:before="100" w:after="100"/>
              <w:jc w:val="center"/>
              <w:rPr>
                <w:rFonts w:ascii="Georgia" w:eastAsiaTheme="minorHAnsi" w:hAnsi="Georgia" w:cs="Times New Roman"/>
                <w:sz w:val="16"/>
                <w:szCs w:val="16"/>
              </w:rPr>
            </w:pPr>
            <w:r w:rsidRPr="00677A3B">
              <w:rPr>
                <w:rFonts w:ascii="Georgia" w:eastAsiaTheme="minorHAnsi" w:hAnsi="Georgia" w:cs="Times New Roman"/>
                <w:sz w:val="16"/>
                <w:szCs w:val="16"/>
              </w:rPr>
              <w:t>Aggressive</w:t>
            </w:r>
          </w:p>
        </w:tc>
        <w:tc>
          <w:tcPr>
            <w:tcW w:w="4950" w:type="dxa"/>
            <w:tcBorders>
              <w:bottom w:val="thinThickSmallGap" w:sz="24" w:space="0" w:color="auto"/>
            </w:tcBorders>
            <w:shd w:val="clear" w:color="auto" w:fill="BFBFBF" w:themeFill="background1" w:themeFillShade="BF"/>
            <w:vAlign w:val="center"/>
          </w:tcPr>
          <w:p w14:paraId="21512E2E" w14:textId="77777777" w:rsidR="001678E2" w:rsidRPr="00677A3B" w:rsidRDefault="001678E2" w:rsidP="005546CB">
            <w:pPr>
              <w:widowControl/>
              <w:adjustRightInd w:val="0"/>
              <w:spacing w:before="100" w:after="100"/>
              <w:rPr>
                <w:rFonts w:ascii="Georgia" w:hAnsi="Georgia"/>
                <w:sz w:val="16"/>
                <w:szCs w:val="16"/>
              </w:rPr>
            </w:pPr>
            <w:r w:rsidRPr="00677A3B">
              <w:rPr>
                <w:rFonts w:ascii="Georgia" w:hAnsi="Georgia"/>
                <w:sz w:val="16"/>
                <w:szCs w:val="16"/>
              </w:rPr>
              <w:t>Aggressive Income investors seek a higher level of returns and are willing to accept a higher level of risk that may result in greater losses.</w:t>
            </w:r>
          </w:p>
        </w:tc>
      </w:tr>
      <w:tr w:rsidR="001678E2" w:rsidRPr="00677A3B" w14:paraId="75E79FC0" w14:textId="77777777" w:rsidTr="005546CB">
        <w:trPr>
          <w:jc w:val="center"/>
        </w:trPr>
        <w:tc>
          <w:tcPr>
            <w:tcW w:w="1255" w:type="dxa"/>
            <w:vMerge w:val="restart"/>
            <w:tcBorders>
              <w:top w:val="thinThickSmallGap" w:sz="24" w:space="0" w:color="auto"/>
            </w:tcBorders>
            <w:vAlign w:val="center"/>
          </w:tcPr>
          <w:p w14:paraId="4538A4CE" w14:textId="77777777" w:rsidR="001678E2" w:rsidRPr="00677A3B" w:rsidRDefault="001678E2" w:rsidP="005546CB">
            <w:pPr>
              <w:widowControl/>
              <w:adjustRightInd w:val="0"/>
              <w:spacing w:before="100" w:after="100"/>
              <w:rPr>
                <w:rFonts w:ascii="Georgia" w:eastAsiaTheme="minorHAnsi" w:hAnsi="Georgia" w:cs="Times New Roman"/>
                <w:sz w:val="16"/>
                <w:szCs w:val="16"/>
              </w:rPr>
            </w:pPr>
            <w:r w:rsidRPr="00677A3B">
              <w:rPr>
                <w:rFonts w:ascii="Georgia" w:eastAsiaTheme="minorHAnsi" w:hAnsi="Georgia" w:cs="Times New Roman"/>
                <w:sz w:val="16"/>
                <w:szCs w:val="16"/>
              </w:rPr>
              <w:t>Growth &amp; Income</w:t>
            </w:r>
          </w:p>
        </w:tc>
        <w:tc>
          <w:tcPr>
            <w:tcW w:w="2160" w:type="dxa"/>
            <w:vMerge w:val="restart"/>
            <w:tcBorders>
              <w:top w:val="thinThickSmallGap" w:sz="24" w:space="0" w:color="auto"/>
            </w:tcBorders>
            <w:vAlign w:val="center"/>
          </w:tcPr>
          <w:p w14:paraId="29175166" w14:textId="77777777" w:rsidR="001678E2" w:rsidRPr="00677A3B" w:rsidRDefault="001678E2" w:rsidP="005546CB">
            <w:pPr>
              <w:widowControl/>
              <w:adjustRightInd w:val="0"/>
              <w:spacing w:before="100" w:after="100"/>
              <w:rPr>
                <w:rFonts w:ascii="Georgia" w:hAnsi="Georgia"/>
                <w:sz w:val="16"/>
                <w:szCs w:val="16"/>
              </w:rPr>
            </w:pPr>
            <w:r w:rsidRPr="00677A3B">
              <w:rPr>
                <w:rFonts w:ascii="Georgia" w:hAnsi="Georgia"/>
                <w:sz w:val="16"/>
                <w:szCs w:val="16"/>
              </w:rPr>
              <w:t>Growth and Income portfolios emphasize a blend of current income and capital appreciation and usually have some exposure to more volatile growth assets.</w:t>
            </w:r>
          </w:p>
        </w:tc>
        <w:tc>
          <w:tcPr>
            <w:tcW w:w="1440" w:type="dxa"/>
            <w:tcBorders>
              <w:top w:val="thinThickSmallGap" w:sz="24" w:space="0" w:color="auto"/>
            </w:tcBorders>
            <w:shd w:val="clear" w:color="auto" w:fill="F2F2F2" w:themeFill="background1" w:themeFillShade="F2"/>
            <w:vAlign w:val="center"/>
          </w:tcPr>
          <w:p w14:paraId="7E9A725E" w14:textId="77777777" w:rsidR="001678E2" w:rsidRPr="00677A3B" w:rsidRDefault="001678E2" w:rsidP="005546CB">
            <w:pPr>
              <w:widowControl/>
              <w:adjustRightInd w:val="0"/>
              <w:spacing w:before="100" w:after="100"/>
              <w:jc w:val="center"/>
              <w:rPr>
                <w:rFonts w:ascii="Georgia" w:eastAsiaTheme="minorHAnsi" w:hAnsi="Georgia" w:cs="Times New Roman"/>
                <w:sz w:val="16"/>
                <w:szCs w:val="16"/>
              </w:rPr>
            </w:pPr>
            <w:r w:rsidRPr="00677A3B">
              <w:rPr>
                <w:rFonts w:ascii="Georgia" w:eastAsiaTheme="minorHAnsi" w:hAnsi="Georgia" w:cs="Times New Roman"/>
                <w:sz w:val="16"/>
                <w:szCs w:val="16"/>
              </w:rPr>
              <w:t>Conservative</w:t>
            </w:r>
          </w:p>
        </w:tc>
        <w:tc>
          <w:tcPr>
            <w:tcW w:w="4950" w:type="dxa"/>
            <w:tcBorders>
              <w:top w:val="thinThickSmallGap" w:sz="24" w:space="0" w:color="auto"/>
            </w:tcBorders>
            <w:shd w:val="clear" w:color="auto" w:fill="BFBFBF" w:themeFill="background1" w:themeFillShade="BF"/>
            <w:vAlign w:val="center"/>
          </w:tcPr>
          <w:p w14:paraId="062288D2" w14:textId="77777777" w:rsidR="001678E2" w:rsidRPr="00677A3B" w:rsidRDefault="001678E2" w:rsidP="005546CB">
            <w:pPr>
              <w:widowControl/>
              <w:adjustRightInd w:val="0"/>
              <w:spacing w:before="100" w:after="100"/>
              <w:rPr>
                <w:rFonts w:ascii="Georgia" w:hAnsi="Georgia"/>
                <w:sz w:val="16"/>
                <w:szCs w:val="16"/>
              </w:rPr>
            </w:pPr>
            <w:r w:rsidRPr="00677A3B">
              <w:rPr>
                <w:rFonts w:ascii="Georgia" w:hAnsi="Georgia"/>
                <w:sz w:val="16"/>
                <w:szCs w:val="16"/>
              </w:rPr>
              <w:t xml:space="preserve">Conservative Growth and Income investors generally assume a lower amount of </w:t>
            </w:r>
            <w:proofErr w:type="gramStart"/>
            <w:r w:rsidRPr="00677A3B">
              <w:rPr>
                <w:rFonts w:ascii="Georgia" w:hAnsi="Georgia"/>
                <w:sz w:val="16"/>
                <w:szCs w:val="16"/>
              </w:rPr>
              <w:t>risk, but</w:t>
            </w:r>
            <w:proofErr w:type="gramEnd"/>
            <w:r w:rsidRPr="00677A3B">
              <w:rPr>
                <w:rFonts w:ascii="Georgia" w:hAnsi="Georgia"/>
                <w:sz w:val="16"/>
                <w:szCs w:val="16"/>
              </w:rPr>
              <w:t xml:space="preserve"> may still experience losses or have lower expected returns.</w:t>
            </w:r>
          </w:p>
        </w:tc>
      </w:tr>
      <w:tr w:rsidR="001678E2" w:rsidRPr="00677A3B" w14:paraId="0EFE22E6" w14:textId="77777777" w:rsidTr="005546CB">
        <w:trPr>
          <w:jc w:val="center"/>
        </w:trPr>
        <w:tc>
          <w:tcPr>
            <w:tcW w:w="1255" w:type="dxa"/>
            <w:vMerge/>
            <w:vAlign w:val="center"/>
          </w:tcPr>
          <w:p w14:paraId="51E8832F" w14:textId="77777777" w:rsidR="001678E2" w:rsidRPr="00677A3B" w:rsidRDefault="001678E2" w:rsidP="005546CB">
            <w:pPr>
              <w:widowControl/>
              <w:adjustRightInd w:val="0"/>
              <w:spacing w:before="100" w:after="100"/>
              <w:rPr>
                <w:rFonts w:ascii="Georgia" w:eastAsiaTheme="minorHAnsi" w:hAnsi="Georgia" w:cs="Times New Roman"/>
                <w:sz w:val="16"/>
                <w:szCs w:val="16"/>
              </w:rPr>
            </w:pPr>
          </w:p>
        </w:tc>
        <w:tc>
          <w:tcPr>
            <w:tcW w:w="2160" w:type="dxa"/>
            <w:vMerge/>
            <w:vAlign w:val="center"/>
          </w:tcPr>
          <w:p w14:paraId="5FFD746B" w14:textId="77777777" w:rsidR="001678E2" w:rsidRPr="00677A3B" w:rsidRDefault="001678E2" w:rsidP="005546CB">
            <w:pPr>
              <w:widowControl/>
              <w:adjustRightInd w:val="0"/>
              <w:spacing w:before="100" w:after="100"/>
              <w:rPr>
                <w:rFonts w:ascii="Georgia" w:eastAsiaTheme="minorHAnsi" w:hAnsi="Georgia" w:cs="Times New Roman"/>
                <w:sz w:val="16"/>
                <w:szCs w:val="16"/>
              </w:rPr>
            </w:pPr>
          </w:p>
        </w:tc>
        <w:tc>
          <w:tcPr>
            <w:tcW w:w="1440" w:type="dxa"/>
            <w:shd w:val="clear" w:color="auto" w:fill="F2F2F2" w:themeFill="background1" w:themeFillShade="F2"/>
            <w:vAlign w:val="center"/>
          </w:tcPr>
          <w:p w14:paraId="19681E9D" w14:textId="77777777" w:rsidR="001678E2" w:rsidRPr="00677A3B" w:rsidRDefault="001678E2" w:rsidP="005546CB">
            <w:pPr>
              <w:widowControl/>
              <w:adjustRightInd w:val="0"/>
              <w:spacing w:before="100" w:after="100"/>
              <w:jc w:val="center"/>
              <w:rPr>
                <w:rFonts w:ascii="Georgia" w:eastAsiaTheme="minorHAnsi" w:hAnsi="Georgia" w:cs="Times New Roman"/>
                <w:sz w:val="16"/>
                <w:szCs w:val="16"/>
              </w:rPr>
            </w:pPr>
            <w:r w:rsidRPr="00677A3B">
              <w:rPr>
                <w:rFonts w:ascii="Georgia" w:eastAsiaTheme="minorHAnsi" w:hAnsi="Georgia" w:cs="Times New Roman"/>
                <w:sz w:val="16"/>
                <w:szCs w:val="16"/>
              </w:rPr>
              <w:t>Moderate</w:t>
            </w:r>
          </w:p>
        </w:tc>
        <w:tc>
          <w:tcPr>
            <w:tcW w:w="4950" w:type="dxa"/>
            <w:shd w:val="clear" w:color="auto" w:fill="BFBFBF" w:themeFill="background1" w:themeFillShade="BF"/>
            <w:vAlign w:val="center"/>
          </w:tcPr>
          <w:p w14:paraId="4A6B3C89" w14:textId="77777777" w:rsidR="001678E2" w:rsidRPr="00677A3B" w:rsidRDefault="001678E2" w:rsidP="005546CB">
            <w:pPr>
              <w:widowControl/>
              <w:adjustRightInd w:val="0"/>
              <w:spacing w:before="100" w:after="100"/>
              <w:rPr>
                <w:rFonts w:ascii="Georgia" w:hAnsi="Georgia"/>
                <w:sz w:val="16"/>
                <w:szCs w:val="16"/>
              </w:rPr>
            </w:pPr>
            <w:r w:rsidRPr="00677A3B">
              <w:rPr>
                <w:rFonts w:ascii="Georgia" w:hAnsi="Georgia"/>
                <w:sz w:val="16"/>
                <w:szCs w:val="16"/>
              </w:rPr>
              <w:t>Moderate Growth and Income investors are willing to accept a modest level of risk that may result in increased losses in exchange for the potential to receive modest returns.</w:t>
            </w:r>
          </w:p>
        </w:tc>
      </w:tr>
      <w:tr w:rsidR="001678E2" w:rsidRPr="00677A3B" w14:paraId="13135ECF" w14:textId="77777777" w:rsidTr="005546CB">
        <w:trPr>
          <w:jc w:val="center"/>
        </w:trPr>
        <w:tc>
          <w:tcPr>
            <w:tcW w:w="1255" w:type="dxa"/>
            <w:vMerge/>
            <w:tcBorders>
              <w:bottom w:val="thinThickSmallGap" w:sz="24" w:space="0" w:color="auto"/>
            </w:tcBorders>
            <w:vAlign w:val="center"/>
          </w:tcPr>
          <w:p w14:paraId="468D7DD6" w14:textId="77777777" w:rsidR="001678E2" w:rsidRPr="00677A3B" w:rsidRDefault="001678E2" w:rsidP="005546CB">
            <w:pPr>
              <w:widowControl/>
              <w:adjustRightInd w:val="0"/>
              <w:spacing w:before="100" w:after="100"/>
              <w:rPr>
                <w:rFonts w:ascii="Georgia" w:eastAsiaTheme="minorHAnsi" w:hAnsi="Georgia" w:cs="Times New Roman"/>
                <w:sz w:val="16"/>
                <w:szCs w:val="16"/>
              </w:rPr>
            </w:pPr>
          </w:p>
        </w:tc>
        <w:tc>
          <w:tcPr>
            <w:tcW w:w="2160" w:type="dxa"/>
            <w:vMerge/>
            <w:tcBorders>
              <w:bottom w:val="thinThickSmallGap" w:sz="24" w:space="0" w:color="auto"/>
            </w:tcBorders>
            <w:vAlign w:val="center"/>
          </w:tcPr>
          <w:p w14:paraId="3D2161FE" w14:textId="77777777" w:rsidR="001678E2" w:rsidRPr="00677A3B" w:rsidRDefault="001678E2" w:rsidP="005546CB">
            <w:pPr>
              <w:widowControl/>
              <w:adjustRightInd w:val="0"/>
              <w:spacing w:before="100" w:after="100"/>
              <w:rPr>
                <w:rFonts w:ascii="Georgia" w:eastAsiaTheme="minorHAnsi" w:hAnsi="Georgia" w:cs="Times New Roman"/>
                <w:sz w:val="16"/>
                <w:szCs w:val="16"/>
              </w:rPr>
            </w:pPr>
          </w:p>
        </w:tc>
        <w:tc>
          <w:tcPr>
            <w:tcW w:w="1440" w:type="dxa"/>
            <w:tcBorders>
              <w:bottom w:val="thinThickSmallGap" w:sz="24" w:space="0" w:color="auto"/>
            </w:tcBorders>
            <w:shd w:val="clear" w:color="auto" w:fill="F2F2F2" w:themeFill="background1" w:themeFillShade="F2"/>
            <w:vAlign w:val="center"/>
          </w:tcPr>
          <w:p w14:paraId="44B932A7" w14:textId="77777777" w:rsidR="001678E2" w:rsidRPr="00677A3B" w:rsidRDefault="001678E2" w:rsidP="005546CB">
            <w:pPr>
              <w:widowControl/>
              <w:adjustRightInd w:val="0"/>
              <w:spacing w:before="100" w:after="100"/>
              <w:jc w:val="center"/>
              <w:rPr>
                <w:rFonts w:ascii="Georgia" w:eastAsiaTheme="minorHAnsi" w:hAnsi="Georgia" w:cs="Times New Roman"/>
                <w:sz w:val="16"/>
                <w:szCs w:val="16"/>
              </w:rPr>
            </w:pPr>
            <w:r w:rsidRPr="00677A3B">
              <w:rPr>
                <w:rFonts w:ascii="Georgia" w:eastAsiaTheme="minorHAnsi" w:hAnsi="Georgia" w:cs="Times New Roman"/>
                <w:sz w:val="16"/>
                <w:szCs w:val="16"/>
              </w:rPr>
              <w:t>Aggressive</w:t>
            </w:r>
          </w:p>
        </w:tc>
        <w:tc>
          <w:tcPr>
            <w:tcW w:w="4950" w:type="dxa"/>
            <w:tcBorders>
              <w:bottom w:val="thinThickSmallGap" w:sz="24" w:space="0" w:color="auto"/>
            </w:tcBorders>
            <w:shd w:val="clear" w:color="auto" w:fill="BFBFBF" w:themeFill="background1" w:themeFillShade="BF"/>
            <w:vAlign w:val="center"/>
          </w:tcPr>
          <w:p w14:paraId="0FD9014B" w14:textId="77777777" w:rsidR="001678E2" w:rsidRPr="00677A3B" w:rsidRDefault="001678E2" w:rsidP="005546CB">
            <w:pPr>
              <w:widowControl/>
              <w:adjustRightInd w:val="0"/>
              <w:spacing w:before="100" w:after="100"/>
              <w:rPr>
                <w:rFonts w:ascii="Georgia" w:hAnsi="Georgia"/>
                <w:sz w:val="16"/>
                <w:szCs w:val="16"/>
              </w:rPr>
            </w:pPr>
            <w:r w:rsidRPr="00677A3B">
              <w:rPr>
                <w:rFonts w:ascii="Georgia" w:hAnsi="Georgia"/>
                <w:sz w:val="16"/>
                <w:szCs w:val="16"/>
              </w:rPr>
              <w:t>Aggressive Growth and Income investors seek a higher level of returns and are willing to accept a higher level of risk that may result in greater losses.</w:t>
            </w:r>
          </w:p>
        </w:tc>
      </w:tr>
      <w:tr w:rsidR="001678E2" w:rsidRPr="00677A3B" w14:paraId="7B205C04" w14:textId="77777777" w:rsidTr="005546CB">
        <w:trPr>
          <w:jc w:val="center"/>
        </w:trPr>
        <w:tc>
          <w:tcPr>
            <w:tcW w:w="1255" w:type="dxa"/>
            <w:vMerge w:val="restart"/>
            <w:tcBorders>
              <w:top w:val="thinThickSmallGap" w:sz="24" w:space="0" w:color="auto"/>
            </w:tcBorders>
            <w:vAlign w:val="center"/>
          </w:tcPr>
          <w:p w14:paraId="6928E664" w14:textId="77777777" w:rsidR="001678E2" w:rsidRPr="00677A3B" w:rsidRDefault="001678E2" w:rsidP="005546CB">
            <w:pPr>
              <w:widowControl/>
              <w:adjustRightInd w:val="0"/>
              <w:spacing w:before="100" w:after="100"/>
              <w:rPr>
                <w:rFonts w:ascii="Georgia" w:hAnsi="Georgia"/>
                <w:sz w:val="16"/>
                <w:szCs w:val="16"/>
              </w:rPr>
            </w:pPr>
            <w:r w:rsidRPr="00677A3B">
              <w:rPr>
                <w:rFonts w:ascii="Georgia" w:hAnsi="Georgia"/>
                <w:sz w:val="16"/>
                <w:szCs w:val="16"/>
              </w:rPr>
              <w:t>Growth</w:t>
            </w:r>
          </w:p>
        </w:tc>
        <w:tc>
          <w:tcPr>
            <w:tcW w:w="2160" w:type="dxa"/>
            <w:vMerge w:val="restart"/>
            <w:tcBorders>
              <w:top w:val="thinThickSmallGap" w:sz="24" w:space="0" w:color="auto"/>
            </w:tcBorders>
            <w:vAlign w:val="center"/>
          </w:tcPr>
          <w:p w14:paraId="611B7732" w14:textId="77777777" w:rsidR="001678E2" w:rsidRPr="00677A3B" w:rsidRDefault="001678E2" w:rsidP="005546CB">
            <w:pPr>
              <w:widowControl/>
              <w:adjustRightInd w:val="0"/>
              <w:spacing w:before="100" w:after="100"/>
              <w:rPr>
                <w:rFonts w:ascii="Georgia" w:hAnsi="Georgia"/>
                <w:sz w:val="16"/>
                <w:szCs w:val="16"/>
              </w:rPr>
            </w:pPr>
            <w:r w:rsidRPr="00677A3B">
              <w:rPr>
                <w:rFonts w:ascii="Georgia" w:hAnsi="Georgia"/>
                <w:sz w:val="16"/>
                <w:szCs w:val="16"/>
              </w:rPr>
              <w:t>Growth portfolios emphasize capital appreciation with minimal consideration for current income and usually have significant exposure to more volatile growth assets.</w:t>
            </w:r>
          </w:p>
        </w:tc>
        <w:tc>
          <w:tcPr>
            <w:tcW w:w="1440" w:type="dxa"/>
            <w:tcBorders>
              <w:top w:val="thinThickSmallGap" w:sz="24" w:space="0" w:color="auto"/>
            </w:tcBorders>
            <w:shd w:val="clear" w:color="auto" w:fill="F2F2F2" w:themeFill="background1" w:themeFillShade="F2"/>
            <w:vAlign w:val="center"/>
          </w:tcPr>
          <w:p w14:paraId="75B8B671" w14:textId="77777777" w:rsidR="001678E2" w:rsidRPr="00677A3B" w:rsidRDefault="001678E2" w:rsidP="005546CB">
            <w:pPr>
              <w:widowControl/>
              <w:adjustRightInd w:val="0"/>
              <w:spacing w:before="100" w:after="100"/>
              <w:jc w:val="center"/>
              <w:rPr>
                <w:rFonts w:ascii="Georgia" w:hAnsi="Georgia"/>
                <w:sz w:val="16"/>
                <w:szCs w:val="16"/>
              </w:rPr>
            </w:pPr>
            <w:r w:rsidRPr="00677A3B">
              <w:rPr>
                <w:rFonts w:ascii="Georgia" w:hAnsi="Georgia"/>
                <w:sz w:val="16"/>
                <w:szCs w:val="16"/>
              </w:rPr>
              <w:t>Conservative</w:t>
            </w:r>
          </w:p>
        </w:tc>
        <w:tc>
          <w:tcPr>
            <w:tcW w:w="4950" w:type="dxa"/>
            <w:tcBorders>
              <w:top w:val="thinThickSmallGap" w:sz="24" w:space="0" w:color="auto"/>
            </w:tcBorders>
            <w:shd w:val="clear" w:color="auto" w:fill="BFBFBF" w:themeFill="background1" w:themeFillShade="BF"/>
            <w:vAlign w:val="center"/>
          </w:tcPr>
          <w:p w14:paraId="4A3C01DD" w14:textId="77777777" w:rsidR="001678E2" w:rsidRPr="00677A3B" w:rsidRDefault="001678E2" w:rsidP="005546CB">
            <w:pPr>
              <w:widowControl/>
              <w:adjustRightInd w:val="0"/>
              <w:spacing w:before="100" w:after="100"/>
              <w:rPr>
                <w:rFonts w:ascii="Georgia" w:hAnsi="Georgia"/>
                <w:sz w:val="16"/>
                <w:szCs w:val="16"/>
              </w:rPr>
            </w:pPr>
            <w:r w:rsidRPr="00677A3B">
              <w:rPr>
                <w:rFonts w:ascii="Georgia" w:hAnsi="Georgia"/>
                <w:sz w:val="16"/>
                <w:szCs w:val="16"/>
              </w:rPr>
              <w:t xml:space="preserve">Conservative Growth investors generally assume a lower amount of </w:t>
            </w:r>
            <w:proofErr w:type="gramStart"/>
            <w:r w:rsidRPr="00677A3B">
              <w:rPr>
                <w:rFonts w:ascii="Georgia" w:hAnsi="Georgia"/>
                <w:sz w:val="16"/>
                <w:szCs w:val="16"/>
              </w:rPr>
              <w:t>risk, but</w:t>
            </w:r>
            <w:proofErr w:type="gramEnd"/>
            <w:r w:rsidRPr="00677A3B">
              <w:rPr>
                <w:rFonts w:ascii="Georgia" w:hAnsi="Georgia"/>
                <w:sz w:val="16"/>
                <w:szCs w:val="16"/>
              </w:rPr>
              <w:t xml:space="preserve"> may still experience increased losses or have lower expected growth returns.</w:t>
            </w:r>
          </w:p>
        </w:tc>
      </w:tr>
      <w:tr w:rsidR="001678E2" w:rsidRPr="00677A3B" w14:paraId="1FE6EF6E" w14:textId="77777777" w:rsidTr="005546CB">
        <w:trPr>
          <w:jc w:val="center"/>
        </w:trPr>
        <w:tc>
          <w:tcPr>
            <w:tcW w:w="1255" w:type="dxa"/>
            <w:vMerge/>
            <w:vAlign w:val="center"/>
          </w:tcPr>
          <w:p w14:paraId="2376F267" w14:textId="77777777" w:rsidR="001678E2" w:rsidRPr="00677A3B" w:rsidRDefault="001678E2" w:rsidP="005546CB">
            <w:pPr>
              <w:widowControl/>
              <w:adjustRightInd w:val="0"/>
              <w:spacing w:before="100" w:after="100"/>
              <w:rPr>
                <w:rFonts w:ascii="Georgia" w:hAnsi="Georgia"/>
                <w:sz w:val="16"/>
                <w:szCs w:val="16"/>
              </w:rPr>
            </w:pPr>
          </w:p>
        </w:tc>
        <w:tc>
          <w:tcPr>
            <w:tcW w:w="2160" w:type="dxa"/>
            <w:vMerge/>
            <w:vAlign w:val="center"/>
          </w:tcPr>
          <w:p w14:paraId="253E1117" w14:textId="77777777" w:rsidR="001678E2" w:rsidRPr="00677A3B" w:rsidRDefault="001678E2" w:rsidP="005546CB">
            <w:pPr>
              <w:widowControl/>
              <w:adjustRightInd w:val="0"/>
              <w:spacing w:before="100" w:after="100"/>
              <w:rPr>
                <w:rFonts w:ascii="Georgia" w:hAnsi="Georgia"/>
                <w:sz w:val="16"/>
                <w:szCs w:val="16"/>
              </w:rPr>
            </w:pPr>
          </w:p>
        </w:tc>
        <w:tc>
          <w:tcPr>
            <w:tcW w:w="1440" w:type="dxa"/>
            <w:shd w:val="clear" w:color="auto" w:fill="F2F2F2" w:themeFill="background1" w:themeFillShade="F2"/>
            <w:vAlign w:val="center"/>
          </w:tcPr>
          <w:p w14:paraId="5922779F" w14:textId="77777777" w:rsidR="001678E2" w:rsidRPr="00677A3B" w:rsidRDefault="001678E2" w:rsidP="005546CB">
            <w:pPr>
              <w:widowControl/>
              <w:adjustRightInd w:val="0"/>
              <w:spacing w:before="100" w:after="100"/>
              <w:jc w:val="center"/>
              <w:rPr>
                <w:rFonts w:ascii="Georgia" w:hAnsi="Georgia"/>
                <w:sz w:val="16"/>
                <w:szCs w:val="16"/>
              </w:rPr>
            </w:pPr>
            <w:r w:rsidRPr="00677A3B">
              <w:rPr>
                <w:rFonts w:ascii="Georgia" w:hAnsi="Georgia"/>
                <w:sz w:val="16"/>
                <w:szCs w:val="16"/>
              </w:rPr>
              <w:t>Moderate</w:t>
            </w:r>
          </w:p>
        </w:tc>
        <w:tc>
          <w:tcPr>
            <w:tcW w:w="4950" w:type="dxa"/>
            <w:shd w:val="clear" w:color="auto" w:fill="BFBFBF" w:themeFill="background1" w:themeFillShade="BF"/>
            <w:vAlign w:val="center"/>
          </w:tcPr>
          <w:p w14:paraId="1A53E78E" w14:textId="77777777" w:rsidR="001678E2" w:rsidRPr="00677A3B" w:rsidRDefault="001678E2" w:rsidP="005546CB">
            <w:pPr>
              <w:widowControl/>
              <w:adjustRightInd w:val="0"/>
              <w:spacing w:before="100" w:after="100"/>
              <w:rPr>
                <w:rFonts w:ascii="Georgia" w:hAnsi="Georgia"/>
                <w:sz w:val="16"/>
                <w:szCs w:val="16"/>
              </w:rPr>
            </w:pPr>
            <w:r w:rsidRPr="00677A3B">
              <w:rPr>
                <w:rFonts w:ascii="Georgia" w:hAnsi="Georgia"/>
                <w:sz w:val="16"/>
                <w:szCs w:val="16"/>
              </w:rPr>
              <w:t>Moderate Growth investors are willing to accept a modest level of risk that may result in significant losses in exchange for the potential to receive higher returns.</w:t>
            </w:r>
          </w:p>
        </w:tc>
      </w:tr>
      <w:tr w:rsidR="001678E2" w:rsidRPr="00677A3B" w14:paraId="1C6E30E8" w14:textId="77777777" w:rsidTr="005546CB">
        <w:trPr>
          <w:jc w:val="center"/>
        </w:trPr>
        <w:tc>
          <w:tcPr>
            <w:tcW w:w="1255" w:type="dxa"/>
            <w:vMerge/>
            <w:tcBorders>
              <w:bottom w:val="thinThickSmallGap" w:sz="24" w:space="0" w:color="auto"/>
            </w:tcBorders>
            <w:vAlign w:val="center"/>
          </w:tcPr>
          <w:p w14:paraId="797C1551" w14:textId="77777777" w:rsidR="001678E2" w:rsidRPr="00677A3B" w:rsidRDefault="001678E2" w:rsidP="005546CB">
            <w:pPr>
              <w:widowControl/>
              <w:adjustRightInd w:val="0"/>
              <w:spacing w:before="100" w:after="100"/>
              <w:rPr>
                <w:rFonts w:ascii="Georgia" w:hAnsi="Georgia"/>
                <w:sz w:val="16"/>
                <w:szCs w:val="16"/>
              </w:rPr>
            </w:pPr>
          </w:p>
        </w:tc>
        <w:tc>
          <w:tcPr>
            <w:tcW w:w="2160" w:type="dxa"/>
            <w:vMerge/>
            <w:tcBorders>
              <w:bottom w:val="thinThickSmallGap" w:sz="24" w:space="0" w:color="auto"/>
            </w:tcBorders>
            <w:vAlign w:val="center"/>
          </w:tcPr>
          <w:p w14:paraId="284AB3C5" w14:textId="77777777" w:rsidR="001678E2" w:rsidRPr="00677A3B" w:rsidRDefault="001678E2" w:rsidP="005546CB">
            <w:pPr>
              <w:widowControl/>
              <w:adjustRightInd w:val="0"/>
              <w:spacing w:before="100" w:after="100"/>
              <w:rPr>
                <w:rFonts w:ascii="Georgia" w:hAnsi="Georgia"/>
                <w:sz w:val="16"/>
                <w:szCs w:val="16"/>
              </w:rPr>
            </w:pPr>
          </w:p>
        </w:tc>
        <w:tc>
          <w:tcPr>
            <w:tcW w:w="1440" w:type="dxa"/>
            <w:tcBorders>
              <w:bottom w:val="thinThickSmallGap" w:sz="24" w:space="0" w:color="auto"/>
            </w:tcBorders>
            <w:shd w:val="clear" w:color="auto" w:fill="F2F2F2" w:themeFill="background1" w:themeFillShade="F2"/>
            <w:vAlign w:val="center"/>
          </w:tcPr>
          <w:p w14:paraId="54DF6368" w14:textId="77777777" w:rsidR="001678E2" w:rsidRPr="00677A3B" w:rsidRDefault="001678E2" w:rsidP="005546CB">
            <w:pPr>
              <w:widowControl/>
              <w:adjustRightInd w:val="0"/>
              <w:spacing w:before="100" w:after="100"/>
              <w:jc w:val="center"/>
              <w:rPr>
                <w:rFonts w:ascii="Georgia" w:hAnsi="Georgia"/>
                <w:sz w:val="16"/>
                <w:szCs w:val="16"/>
              </w:rPr>
            </w:pPr>
            <w:r w:rsidRPr="00677A3B">
              <w:rPr>
                <w:rFonts w:ascii="Georgia" w:hAnsi="Georgia"/>
                <w:sz w:val="16"/>
                <w:szCs w:val="16"/>
              </w:rPr>
              <w:t>Aggressive</w:t>
            </w:r>
          </w:p>
        </w:tc>
        <w:tc>
          <w:tcPr>
            <w:tcW w:w="4950" w:type="dxa"/>
            <w:tcBorders>
              <w:bottom w:val="thinThickSmallGap" w:sz="24" w:space="0" w:color="auto"/>
            </w:tcBorders>
            <w:shd w:val="clear" w:color="auto" w:fill="BFBFBF" w:themeFill="background1" w:themeFillShade="BF"/>
            <w:vAlign w:val="center"/>
          </w:tcPr>
          <w:p w14:paraId="18F57AA1" w14:textId="77777777" w:rsidR="001678E2" w:rsidRPr="00677A3B" w:rsidRDefault="001678E2" w:rsidP="005546CB">
            <w:pPr>
              <w:widowControl/>
              <w:adjustRightInd w:val="0"/>
              <w:spacing w:before="100" w:after="100"/>
              <w:rPr>
                <w:rFonts w:ascii="Georgia" w:hAnsi="Georgia"/>
                <w:sz w:val="16"/>
                <w:szCs w:val="16"/>
              </w:rPr>
            </w:pPr>
            <w:r w:rsidRPr="00677A3B">
              <w:rPr>
                <w:rFonts w:ascii="Georgia" w:hAnsi="Georgia"/>
                <w:sz w:val="16"/>
                <w:szCs w:val="16"/>
              </w:rPr>
              <w:t>Aggressive Growth investors seek a higher level of returns and are willing to accept a high level of risk that may result in more significant losses.</w:t>
            </w:r>
          </w:p>
        </w:tc>
      </w:tr>
      <w:tr w:rsidR="001678E2" w:rsidRPr="007A11A3" w14:paraId="3217AF08" w14:textId="77777777" w:rsidTr="005546CB">
        <w:trPr>
          <w:jc w:val="center"/>
        </w:trPr>
        <w:tc>
          <w:tcPr>
            <w:tcW w:w="1255" w:type="dxa"/>
            <w:tcBorders>
              <w:top w:val="thinThickSmallGap" w:sz="24" w:space="0" w:color="auto"/>
            </w:tcBorders>
          </w:tcPr>
          <w:p w14:paraId="4A56F385" w14:textId="77777777" w:rsidR="001678E2" w:rsidRPr="00677A3B" w:rsidRDefault="001678E2" w:rsidP="005546CB">
            <w:pPr>
              <w:widowControl/>
              <w:adjustRightInd w:val="0"/>
              <w:spacing w:before="100" w:after="100"/>
              <w:rPr>
                <w:rFonts w:ascii="Georgia" w:hAnsi="Georgia"/>
                <w:sz w:val="16"/>
                <w:szCs w:val="16"/>
              </w:rPr>
            </w:pPr>
            <w:r w:rsidRPr="00677A3B">
              <w:rPr>
                <w:rFonts w:ascii="Georgia" w:hAnsi="Georgia"/>
                <w:sz w:val="16"/>
                <w:szCs w:val="16"/>
              </w:rPr>
              <w:t>Trading and Speculation</w:t>
            </w:r>
          </w:p>
        </w:tc>
        <w:tc>
          <w:tcPr>
            <w:tcW w:w="8550" w:type="dxa"/>
            <w:gridSpan w:val="3"/>
            <w:tcBorders>
              <w:top w:val="thinThickSmallGap" w:sz="24" w:space="0" w:color="auto"/>
            </w:tcBorders>
          </w:tcPr>
          <w:p w14:paraId="04C91AD9" w14:textId="77777777" w:rsidR="001678E2" w:rsidRPr="00677A3B" w:rsidRDefault="001678E2" w:rsidP="005546CB">
            <w:pPr>
              <w:widowControl/>
              <w:adjustRightInd w:val="0"/>
              <w:spacing w:before="100" w:after="100"/>
              <w:rPr>
                <w:rFonts w:ascii="Georgia" w:hAnsi="Georgia"/>
                <w:sz w:val="16"/>
                <w:szCs w:val="16"/>
              </w:rPr>
            </w:pPr>
            <w:r w:rsidRPr="00677A3B">
              <w:rPr>
                <w:rFonts w:ascii="Georgia" w:hAnsi="Georgia"/>
                <w:sz w:val="16"/>
                <w:szCs w:val="16"/>
              </w:rPr>
              <w:t xml:space="preserve">Trading and Speculation investors seek out a maximum return through a broad range of investment strategies which generally involve a high level of risk, including the potential for unlimited loss of investment capital. </w:t>
            </w:r>
          </w:p>
        </w:tc>
      </w:tr>
    </w:tbl>
    <w:p w14:paraId="51A28239" w14:textId="77777777" w:rsidR="001678E2" w:rsidRDefault="001678E2" w:rsidP="001678E2">
      <w:pPr>
        <w:widowControl/>
        <w:adjustRightInd w:val="0"/>
        <w:spacing w:before="100" w:after="100"/>
        <w:ind w:left="90" w:firstLine="15"/>
        <w:rPr>
          <w:rFonts w:ascii="Times New Roman" w:eastAsiaTheme="minorHAnsi" w:hAnsi="Times New Roman" w:cs="Times New Roman"/>
          <w:sz w:val="24"/>
          <w:szCs w:val="24"/>
        </w:rPr>
      </w:pPr>
      <w:r w:rsidRPr="00677A3B">
        <w:rPr>
          <w:rFonts w:ascii="Georgia" w:hAnsi="Georgia"/>
          <w:sz w:val="20"/>
          <w:szCs w:val="20"/>
        </w:rPr>
        <w:t>Our recommendations are based in part on your risk tolerance and investment objective as outlined above. We encourage you to carefully consider your investment objective and risk tolerance before investing.</w:t>
      </w:r>
      <w:r>
        <w:rPr>
          <w:rFonts w:ascii="Georgia" w:hAnsi="Georgia"/>
          <w:sz w:val="20"/>
          <w:szCs w:val="20"/>
        </w:rPr>
        <w:t xml:space="preserve"> </w:t>
      </w:r>
    </w:p>
    <w:p w14:paraId="626AA703" w14:textId="1E4E330F" w:rsidR="001678E2" w:rsidRDefault="001678E2" w:rsidP="001678E2">
      <w:pPr>
        <w:pStyle w:val="Default"/>
        <w:ind w:firstLine="90"/>
        <w:rPr>
          <w:rFonts w:ascii="Georgia" w:eastAsia="Arial" w:hAnsi="Georgia" w:cs="Arial"/>
          <w:b/>
          <w:bCs/>
          <w:color w:val="auto"/>
          <w:sz w:val="20"/>
          <w:szCs w:val="20"/>
        </w:rPr>
      </w:pPr>
    </w:p>
    <w:p w14:paraId="39097E32" w14:textId="3C3B2366" w:rsidR="001678E2" w:rsidRDefault="001678E2" w:rsidP="001678E2">
      <w:pPr>
        <w:pStyle w:val="Default"/>
        <w:ind w:firstLine="90"/>
        <w:rPr>
          <w:rFonts w:ascii="Georgia" w:eastAsia="Arial" w:hAnsi="Georgia" w:cs="Arial"/>
          <w:b/>
          <w:bCs/>
          <w:color w:val="auto"/>
          <w:sz w:val="20"/>
          <w:szCs w:val="20"/>
        </w:rPr>
      </w:pPr>
    </w:p>
    <w:p w14:paraId="43C9D4B9" w14:textId="30F2A0CA" w:rsidR="001678E2" w:rsidRDefault="001678E2" w:rsidP="001678E2">
      <w:pPr>
        <w:pStyle w:val="Default"/>
        <w:ind w:firstLine="90"/>
        <w:rPr>
          <w:rFonts w:ascii="Georgia" w:eastAsia="Arial" w:hAnsi="Georgia" w:cs="Arial"/>
          <w:b/>
          <w:bCs/>
          <w:color w:val="auto"/>
          <w:sz w:val="20"/>
          <w:szCs w:val="20"/>
        </w:rPr>
      </w:pPr>
    </w:p>
    <w:p w14:paraId="670F2837" w14:textId="77777777" w:rsidR="001678E2" w:rsidRDefault="001678E2" w:rsidP="001678E2">
      <w:pPr>
        <w:pStyle w:val="Default"/>
        <w:ind w:firstLine="90"/>
        <w:rPr>
          <w:rFonts w:ascii="Georgia" w:eastAsia="Arial" w:hAnsi="Georgia" w:cs="Arial"/>
          <w:b/>
          <w:bCs/>
          <w:color w:val="auto"/>
          <w:sz w:val="20"/>
          <w:szCs w:val="20"/>
        </w:rPr>
      </w:pPr>
    </w:p>
    <w:p w14:paraId="309603EB" w14:textId="77777777" w:rsidR="001678E2" w:rsidRPr="000A729F" w:rsidRDefault="001678E2" w:rsidP="001678E2">
      <w:pPr>
        <w:pStyle w:val="Default"/>
        <w:ind w:firstLine="90"/>
        <w:rPr>
          <w:rFonts w:ascii="Georgia" w:eastAsia="Arial" w:hAnsi="Georgia" w:cs="Arial"/>
          <w:b/>
          <w:bCs/>
          <w:color w:val="auto"/>
          <w:sz w:val="20"/>
          <w:szCs w:val="20"/>
        </w:rPr>
      </w:pPr>
      <w:r w:rsidRPr="000A729F">
        <w:rPr>
          <w:rFonts w:ascii="Georgia" w:eastAsia="Arial" w:hAnsi="Georgia" w:cs="Arial"/>
          <w:b/>
          <w:bCs/>
          <w:color w:val="auto"/>
          <w:sz w:val="20"/>
          <w:szCs w:val="20"/>
        </w:rPr>
        <w:lastRenderedPageBreak/>
        <w:t>Cash Sweep Program Feature</w:t>
      </w:r>
    </w:p>
    <w:p w14:paraId="06212272" w14:textId="77777777" w:rsidR="001678E2" w:rsidRPr="000A729F" w:rsidRDefault="001678E2" w:rsidP="001678E2">
      <w:pPr>
        <w:widowControl/>
        <w:adjustRightInd w:val="0"/>
        <w:ind w:left="90"/>
        <w:rPr>
          <w:rFonts w:ascii="Georgia" w:hAnsi="Georgia"/>
          <w:bCs/>
          <w:sz w:val="20"/>
          <w:szCs w:val="20"/>
        </w:rPr>
      </w:pPr>
      <w:r w:rsidRPr="000A729F">
        <w:rPr>
          <w:rFonts w:ascii="Georgia" w:hAnsi="Georgia"/>
          <w:bCs/>
          <w:sz w:val="20"/>
          <w:szCs w:val="20"/>
        </w:rPr>
        <w:t xml:space="preserve">Our brokerage services include a Cash Sweep Program feature. This program permits you to earn a return on uninvested cash balances in your brokerage account by allowing </w:t>
      </w:r>
      <w:r>
        <w:rPr>
          <w:rFonts w:ascii="Georgia" w:hAnsi="Georgia"/>
          <w:bCs/>
          <w:sz w:val="20"/>
          <w:szCs w:val="20"/>
        </w:rPr>
        <w:t xml:space="preserve">cash balances </w:t>
      </w:r>
      <w:r w:rsidRPr="000A729F">
        <w:rPr>
          <w:rFonts w:ascii="Georgia" w:hAnsi="Georgia"/>
          <w:bCs/>
          <w:sz w:val="20"/>
          <w:szCs w:val="20"/>
        </w:rPr>
        <w:t xml:space="preserve">to </w:t>
      </w:r>
      <w:r>
        <w:rPr>
          <w:rFonts w:ascii="Georgia" w:hAnsi="Georgia"/>
          <w:bCs/>
          <w:sz w:val="20"/>
          <w:szCs w:val="20"/>
        </w:rPr>
        <w:t xml:space="preserve">be </w:t>
      </w:r>
      <w:r w:rsidRPr="000A729F">
        <w:rPr>
          <w:rFonts w:ascii="Georgia" w:hAnsi="Georgia"/>
          <w:bCs/>
          <w:sz w:val="20"/>
          <w:szCs w:val="20"/>
        </w:rPr>
        <w:t>automatically “swep</w:t>
      </w:r>
      <w:r>
        <w:rPr>
          <w:rFonts w:ascii="Georgia" w:hAnsi="Georgia"/>
          <w:bCs/>
          <w:sz w:val="20"/>
          <w:szCs w:val="20"/>
        </w:rPr>
        <w:t>t</w:t>
      </w:r>
      <w:r w:rsidRPr="000A729F">
        <w:rPr>
          <w:rFonts w:ascii="Georgia" w:hAnsi="Georgia"/>
          <w:bCs/>
          <w:sz w:val="20"/>
          <w:szCs w:val="20"/>
        </w:rPr>
        <w:t xml:space="preserve">” into a “Cash Sweep Vehicle,” until such balances are otherwise </w:t>
      </w:r>
      <w:r>
        <w:rPr>
          <w:rFonts w:ascii="Georgia" w:hAnsi="Georgia"/>
          <w:bCs/>
          <w:sz w:val="20"/>
          <w:szCs w:val="20"/>
        </w:rPr>
        <w:t>required</w:t>
      </w:r>
      <w:r w:rsidRPr="000A729F">
        <w:rPr>
          <w:rFonts w:ascii="Georgia" w:hAnsi="Georgia"/>
          <w:bCs/>
          <w:sz w:val="20"/>
          <w:szCs w:val="20"/>
        </w:rPr>
        <w:t xml:space="preserve"> to satisfy obligations arising in your account. These Cash Sweep Vehicles include interest-bearing deposit accounts, </w:t>
      </w:r>
      <w:r>
        <w:rPr>
          <w:rFonts w:ascii="Georgia" w:hAnsi="Georgia"/>
          <w:bCs/>
          <w:sz w:val="20"/>
          <w:szCs w:val="20"/>
        </w:rPr>
        <w:t>and</w:t>
      </w:r>
      <w:r w:rsidRPr="000A729F">
        <w:rPr>
          <w:rFonts w:ascii="Georgia" w:hAnsi="Georgia"/>
          <w:bCs/>
          <w:sz w:val="20"/>
          <w:szCs w:val="20"/>
        </w:rPr>
        <w:t xml:space="preserve"> if permissible, money market mutual funds or such other sweep arrangements ma</w:t>
      </w:r>
      <w:r>
        <w:rPr>
          <w:rFonts w:ascii="Georgia" w:hAnsi="Georgia"/>
          <w:bCs/>
          <w:sz w:val="20"/>
          <w:szCs w:val="20"/>
        </w:rPr>
        <w:t>d</w:t>
      </w:r>
      <w:r w:rsidRPr="000A729F">
        <w:rPr>
          <w:rFonts w:ascii="Georgia" w:hAnsi="Georgia"/>
          <w:bCs/>
          <w:sz w:val="20"/>
          <w:szCs w:val="20"/>
        </w:rPr>
        <w:t xml:space="preserve">e available to you. You will receive additional information concerning the Cash Sweep Program in your account agreement(s). </w:t>
      </w:r>
      <w:r>
        <w:rPr>
          <w:rFonts w:ascii="Georgia" w:hAnsi="Georgia"/>
          <w:bCs/>
          <w:sz w:val="20"/>
          <w:szCs w:val="20"/>
        </w:rPr>
        <w:t>M</w:t>
      </w:r>
      <w:r w:rsidRPr="000A729F">
        <w:rPr>
          <w:rFonts w:ascii="Georgia" w:hAnsi="Georgia"/>
          <w:bCs/>
          <w:sz w:val="20"/>
          <w:szCs w:val="20"/>
        </w:rPr>
        <w:t xml:space="preserve">ore </w:t>
      </w:r>
      <w:r>
        <w:rPr>
          <w:rFonts w:ascii="Georgia" w:hAnsi="Georgia"/>
          <w:bCs/>
          <w:sz w:val="20"/>
          <w:szCs w:val="20"/>
        </w:rPr>
        <w:t xml:space="preserve">information </w:t>
      </w:r>
      <w:r w:rsidRPr="000A729F">
        <w:rPr>
          <w:rFonts w:ascii="Georgia" w:hAnsi="Georgia"/>
          <w:bCs/>
          <w:sz w:val="20"/>
          <w:szCs w:val="20"/>
        </w:rPr>
        <w:t xml:space="preserve">about </w:t>
      </w:r>
      <w:r>
        <w:rPr>
          <w:rFonts w:ascii="Georgia" w:hAnsi="Georgia"/>
          <w:bCs/>
          <w:sz w:val="20"/>
          <w:szCs w:val="20"/>
        </w:rPr>
        <w:t xml:space="preserve">the </w:t>
      </w:r>
      <w:r w:rsidRPr="000A729F">
        <w:rPr>
          <w:rFonts w:ascii="Georgia" w:hAnsi="Georgia"/>
          <w:bCs/>
          <w:sz w:val="20"/>
          <w:szCs w:val="20"/>
        </w:rPr>
        <w:t xml:space="preserve">Cash Sweep Program </w:t>
      </w:r>
      <w:r>
        <w:rPr>
          <w:rFonts w:ascii="Georgia" w:hAnsi="Georgia"/>
          <w:bCs/>
          <w:sz w:val="20"/>
          <w:szCs w:val="20"/>
        </w:rPr>
        <w:t>can be found in the</w:t>
      </w:r>
      <w:r w:rsidRPr="000A729F">
        <w:rPr>
          <w:rFonts w:ascii="Georgia" w:hAnsi="Georgia"/>
          <w:bCs/>
          <w:sz w:val="20"/>
          <w:szCs w:val="20"/>
        </w:rPr>
        <w:t xml:space="preserve"> </w:t>
      </w:r>
      <w:hyperlink w:history="1">
        <w:r w:rsidRPr="0085081D">
          <w:rPr>
            <w:rStyle w:val="Hyperlink"/>
            <w:rFonts w:ascii="Georgia" w:hAnsi="Georgia"/>
            <w:bCs/>
            <w:sz w:val="20"/>
            <w:szCs w:val="20"/>
          </w:rPr>
          <w:t>Cash Sweep Program Disclosure Statement</w:t>
        </w:r>
      </w:hyperlink>
      <w:r w:rsidRPr="000A729F">
        <w:rPr>
          <w:rFonts w:ascii="Georgia" w:hAnsi="Georgia"/>
          <w:bCs/>
          <w:sz w:val="20"/>
          <w:szCs w:val="20"/>
        </w:rPr>
        <w:t xml:space="preserve"> available at </w:t>
      </w:r>
      <w:r>
        <w:rPr>
          <w:rFonts w:ascii="Georgia" w:hAnsi="Georgia"/>
          <w:bCs/>
          <w:sz w:val="20"/>
          <w:szCs w:val="20"/>
        </w:rPr>
        <w:t>www.worldfinancial.net</w:t>
      </w:r>
      <w:r w:rsidRPr="000A729F">
        <w:rPr>
          <w:rFonts w:ascii="Georgia" w:hAnsi="Georgia"/>
          <w:bCs/>
          <w:sz w:val="20"/>
          <w:szCs w:val="20"/>
        </w:rPr>
        <w:t>.</w:t>
      </w:r>
      <w:r>
        <w:rPr>
          <w:rFonts w:ascii="Georgia" w:hAnsi="Georgia"/>
          <w:bCs/>
          <w:sz w:val="20"/>
          <w:szCs w:val="20"/>
        </w:rPr>
        <w:t xml:space="preserve">  Please review that Disclosure Statement carefully.</w:t>
      </w:r>
    </w:p>
    <w:p w14:paraId="40331B3F" w14:textId="77777777" w:rsidR="001678E2" w:rsidRPr="000A729F" w:rsidRDefault="001678E2" w:rsidP="001678E2">
      <w:pPr>
        <w:widowControl/>
        <w:adjustRightInd w:val="0"/>
        <w:ind w:left="120"/>
        <w:rPr>
          <w:rFonts w:ascii="Georgia" w:hAnsi="Georgia"/>
          <w:bCs/>
          <w:sz w:val="20"/>
          <w:szCs w:val="20"/>
        </w:rPr>
      </w:pPr>
    </w:p>
    <w:p w14:paraId="03A923B2" w14:textId="77777777" w:rsidR="001678E2" w:rsidRPr="000A729F" w:rsidRDefault="001678E2" w:rsidP="001678E2">
      <w:pPr>
        <w:pStyle w:val="Default"/>
        <w:ind w:firstLine="90"/>
        <w:rPr>
          <w:rFonts w:ascii="Georgia" w:eastAsia="Arial" w:hAnsi="Georgia" w:cs="Arial"/>
          <w:bCs/>
          <w:color w:val="auto"/>
          <w:sz w:val="20"/>
          <w:szCs w:val="20"/>
        </w:rPr>
      </w:pPr>
      <w:r w:rsidRPr="000A729F">
        <w:rPr>
          <w:rFonts w:ascii="Georgia" w:eastAsia="Arial" w:hAnsi="Georgia" w:cs="Arial"/>
          <w:b/>
          <w:bCs/>
          <w:color w:val="auto"/>
          <w:sz w:val="20"/>
          <w:szCs w:val="20"/>
        </w:rPr>
        <w:t>Account Minimums and Activity Requirements</w:t>
      </w:r>
    </w:p>
    <w:p w14:paraId="0ACB150C" w14:textId="77777777" w:rsidR="001678E2" w:rsidRPr="000A729F" w:rsidRDefault="001678E2" w:rsidP="001678E2">
      <w:pPr>
        <w:pStyle w:val="Default"/>
        <w:ind w:left="90"/>
        <w:rPr>
          <w:rFonts w:ascii="Georgia" w:eastAsia="Arial" w:hAnsi="Georgia" w:cs="Arial"/>
          <w:bCs/>
          <w:color w:val="auto"/>
          <w:sz w:val="20"/>
          <w:szCs w:val="20"/>
        </w:rPr>
      </w:pPr>
      <w:r w:rsidRPr="000A729F">
        <w:rPr>
          <w:rFonts w:ascii="Georgia" w:eastAsia="Arial" w:hAnsi="Georgia" w:cs="Arial"/>
          <w:bCs/>
          <w:color w:val="auto"/>
          <w:sz w:val="20"/>
          <w:szCs w:val="20"/>
        </w:rPr>
        <w:t xml:space="preserve">There is no minimum initial account balance required to </w:t>
      </w:r>
      <w:r>
        <w:rPr>
          <w:rFonts w:ascii="Georgia" w:eastAsia="Arial" w:hAnsi="Georgia" w:cs="Arial"/>
          <w:bCs/>
          <w:color w:val="auto"/>
          <w:sz w:val="20"/>
          <w:szCs w:val="20"/>
        </w:rPr>
        <w:t>open</w:t>
      </w:r>
      <w:r w:rsidRPr="000A729F">
        <w:rPr>
          <w:rFonts w:ascii="Georgia" w:eastAsia="Arial" w:hAnsi="Georgia" w:cs="Arial"/>
          <w:bCs/>
          <w:color w:val="auto"/>
          <w:sz w:val="20"/>
          <w:szCs w:val="20"/>
        </w:rPr>
        <w:t xml:space="preserve"> </w:t>
      </w:r>
      <w:r>
        <w:rPr>
          <w:rFonts w:ascii="Georgia" w:eastAsia="Arial" w:hAnsi="Georgia" w:cs="Arial"/>
          <w:bCs/>
          <w:color w:val="auto"/>
          <w:sz w:val="20"/>
          <w:szCs w:val="20"/>
        </w:rPr>
        <w:t>a</w:t>
      </w:r>
      <w:r w:rsidRPr="000A729F">
        <w:rPr>
          <w:rFonts w:ascii="Georgia" w:eastAsia="Arial" w:hAnsi="Georgia" w:cs="Arial"/>
          <w:bCs/>
          <w:color w:val="auto"/>
          <w:sz w:val="20"/>
          <w:szCs w:val="20"/>
        </w:rPr>
        <w:t xml:space="preserve"> brokerage account</w:t>
      </w:r>
      <w:r>
        <w:rPr>
          <w:rFonts w:ascii="Georgia" w:eastAsia="Arial" w:hAnsi="Georgia" w:cs="Arial"/>
          <w:bCs/>
          <w:color w:val="auto"/>
          <w:sz w:val="20"/>
          <w:szCs w:val="20"/>
        </w:rPr>
        <w:t xml:space="preserve"> with us. H</w:t>
      </w:r>
      <w:r w:rsidRPr="000A729F">
        <w:rPr>
          <w:rFonts w:ascii="Georgia" w:eastAsia="Arial" w:hAnsi="Georgia" w:cs="Arial"/>
          <w:bCs/>
          <w:color w:val="auto"/>
          <w:sz w:val="20"/>
          <w:szCs w:val="20"/>
        </w:rPr>
        <w:t xml:space="preserve">owever, if you either fail to fund your account or do not return account opening documents as required, your account will be closed. </w:t>
      </w:r>
      <w:r>
        <w:rPr>
          <w:rFonts w:ascii="Georgia" w:eastAsia="Arial" w:hAnsi="Georgia" w:cs="Arial"/>
          <w:bCs/>
          <w:color w:val="auto"/>
          <w:sz w:val="20"/>
          <w:szCs w:val="20"/>
        </w:rPr>
        <w:t>In addition,</w:t>
      </w:r>
      <w:r w:rsidRPr="000A729F">
        <w:rPr>
          <w:rFonts w:ascii="Georgia" w:eastAsia="Arial" w:hAnsi="Georgia" w:cs="Arial"/>
          <w:bCs/>
          <w:color w:val="auto"/>
          <w:sz w:val="20"/>
          <w:szCs w:val="20"/>
        </w:rPr>
        <w:t xml:space="preserve"> some</w:t>
      </w:r>
      <w:r>
        <w:rPr>
          <w:rFonts w:ascii="Georgia" w:eastAsia="Arial" w:hAnsi="Georgia" w:cs="Arial"/>
          <w:bCs/>
          <w:color w:val="auto"/>
          <w:sz w:val="20"/>
          <w:szCs w:val="20"/>
        </w:rPr>
        <w:t xml:space="preserve"> types of brokerage</w:t>
      </w:r>
      <w:r w:rsidRPr="000A729F">
        <w:rPr>
          <w:rFonts w:ascii="Georgia" w:eastAsia="Arial" w:hAnsi="Georgia" w:cs="Arial"/>
          <w:bCs/>
          <w:color w:val="auto"/>
          <w:sz w:val="20"/>
          <w:szCs w:val="20"/>
        </w:rPr>
        <w:t xml:space="preserve"> accounts have minimum account activity requirements and/or minimum on-going balance requirements that must be maintained</w:t>
      </w:r>
      <w:r>
        <w:rPr>
          <w:rFonts w:ascii="Georgia" w:eastAsia="Arial" w:hAnsi="Georgia" w:cs="Arial"/>
          <w:bCs/>
          <w:color w:val="auto"/>
          <w:sz w:val="20"/>
          <w:szCs w:val="20"/>
        </w:rPr>
        <w:t>,</w:t>
      </w:r>
      <w:r w:rsidRPr="000A729F">
        <w:rPr>
          <w:rFonts w:ascii="Georgia" w:eastAsia="Arial" w:hAnsi="Georgia" w:cs="Arial"/>
          <w:bCs/>
          <w:color w:val="auto"/>
          <w:sz w:val="20"/>
          <w:szCs w:val="20"/>
        </w:rPr>
        <w:t xml:space="preserve"> or your brokerage account will be closed. These requirements are detailed in the account agreement(s) you receive when you </w:t>
      </w:r>
      <w:r>
        <w:rPr>
          <w:rFonts w:ascii="Georgia" w:eastAsia="Arial" w:hAnsi="Georgia" w:cs="Arial"/>
          <w:bCs/>
          <w:color w:val="auto"/>
          <w:sz w:val="20"/>
          <w:szCs w:val="20"/>
        </w:rPr>
        <w:t>open</w:t>
      </w:r>
      <w:r w:rsidRPr="000A729F">
        <w:rPr>
          <w:rFonts w:ascii="Georgia" w:eastAsia="Arial" w:hAnsi="Georgia" w:cs="Arial"/>
          <w:bCs/>
          <w:color w:val="auto"/>
          <w:sz w:val="20"/>
          <w:szCs w:val="20"/>
        </w:rPr>
        <w:t xml:space="preserve"> your brokerage account. </w:t>
      </w:r>
    </w:p>
    <w:p w14:paraId="2BF3155F" w14:textId="77777777" w:rsidR="001678E2" w:rsidRPr="000A729F" w:rsidRDefault="001678E2" w:rsidP="001678E2">
      <w:pPr>
        <w:pStyle w:val="Default"/>
        <w:ind w:left="90"/>
        <w:rPr>
          <w:rFonts w:ascii="Georgia" w:eastAsia="Arial" w:hAnsi="Georgia" w:cs="Arial"/>
          <w:bCs/>
          <w:color w:val="auto"/>
          <w:sz w:val="20"/>
          <w:szCs w:val="20"/>
        </w:rPr>
      </w:pPr>
    </w:p>
    <w:p w14:paraId="2787B734" w14:textId="77777777" w:rsidR="001678E2" w:rsidRPr="000A729F" w:rsidRDefault="001678E2" w:rsidP="001678E2">
      <w:pPr>
        <w:pStyle w:val="Default"/>
        <w:ind w:left="90"/>
        <w:rPr>
          <w:rFonts w:ascii="Georgia" w:eastAsia="Arial" w:hAnsi="Georgia" w:cs="Arial"/>
          <w:bCs/>
          <w:color w:val="auto"/>
          <w:sz w:val="20"/>
          <w:szCs w:val="20"/>
        </w:rPr>
      </w:pPr>
      <w:r>
        <w:rPr>
          <w:rFonts w:ascii="Georgia" w:eastAsia="Arial" w:hAnsi="Georgia" w:cs="Arial"/>
          <w:bCs/>
          <w:color w:val="auto"/>
          <w:sz w:val="20"/>
          <w:szCs w:val="20"/>
        </w:rPr>
        <w:t>Y</w:t>
      </w:r>
      <w:r w:rsidRPr="000A729F">
        <w:rPr>
          <w:rFonts w:ascii="Georgia" w:eastAsia="Arial" w:hAnsi="Georgia" w:cs="Arial"/>
          <w:bCs/>
          <w:color w:val="auto"/>
          <w:sz w:val="20"/>
          <w:szCs w:val="20"/>
        </w:rPr>
        <w:t>ou should</w:t>
      </w:r>
      <w:r>
        <w:rPr>
          <w:rFonts w:ascii="Georgia" w:eastAsia="Arial" w:hAnsi="Georgia" w:cs="Arial"/>
          <w:bCs/>
          <w:color w:val="auto"/>
          <w:sz w:val="20"/>
          <w:szCs w:val="20"/>
        </w:rPr>
        <w:t xml:space="preserve"> also</w:t>
      </w:r>
      <w:r w:rsidRPr="000A729F">
        <w:rPr>
          <w:rFonts w:ascii="Georgia" w:eastAsia="Arial" w:hAnsi="Georgia" w:cs="Arial"/>
          <w:bCs/>
          <w:color w:val="auto"/>
          <w:sz w:val="20"/>
          <w:szCs w:val="20"/>
        </w:rPr>
        <w:t xml:space="preserve"> understand that our </w:t>
      </w:r>
      <w:r>
        <w:rPr>
          <w:rFonts w:ascii="Georgia" w:eastAsia="Arial" w:hAnsi="Georgia" w:cs="Arial"/>
          <w:bCs/>
          <w:color w:val="auto"/>
          <w:sz w:val="20"/>
          <w:szCs w:val="20"/>
        </w:rPr>
        <w:t>financial advisors</w:t>
      </w:r>
      <w:r w:rsidRPr="000A729F">
        <w:rPr>
          <w:rFonts w:ascii="Georgia" w:eastAsia="Arial" w:hAnsi="Georgia" w:cs="Arial"/>
          <w:bCs/>
          <w:color w:val="auto"/>
          <w:sz w:val="20"/>
          <w:szCs w:val="20"/>
        </w:rPr>
        <w:t xml:space="preserve"> may establish </w:t>
      </w:r>
      <w:r>
        <w:rPr>
          <w:rFonts w:ascii="Georgia" w:eastAsia="Arial" w:hAnsi="Georgia" w:cs="Arial"/>
          <w:bCs/>
          <w:color w:val="auto"/>
          <w:sz w:val="20"/>
          <w:szCs w:val="20"/>
        </w:rPr>
        <w:t xml:space="preserve">their own </w:t>
      </w:r>
      <w:r w:rsidRPr="000A729F">
        <w:rPr>
          <w:rFonts w:ascii="Georgia" w:eastAsia="Arial" w:hAnsi="Georgia" w:cs="Arial"/>
          <w:bCs/>
          <w:color w:val="auto"/>
          <w:sz w:val="20"/>
          <w:szCs w:val="20"/>
        </w:rPr>
        <w:t xml:space="preserve">minimum account balance requirements for the </w:t>
      </w:r>
      <w:r>
        <w:rPr>
          <w:rFonts w:ascii="Georgia" w:eastAsia="Arial" w:hAnsi="Georgia" w:cs="Arial"/>
          <w:bCs/>
          <w:color w:val="auto"/>
          <w:sz w:val="20"/>
          <w:szCs w:val="20"/>
        </w:rPr>
        <w:t xml:space="preserve">brokerage </w:t>
      </w:r>
      <w:r w:rsidRPr="000A729F">
        <w:rPr>
          <w:rFonts w:ascii="Georgia" w:eastAsia="Arial" w:hAnsi="Georgia" w:cs="Arial"/>
          <w:bCs/>
          <w:color w:val="auto"/>
          <w:sz w:val="20"/>
          <w:szCs w:val="20"/>
        </w:rPr>
        <w:t xml:space="preserve">accounts they service. For example, a dedicated </w:t>
      </w:r>
      <w:r>
        <w:rPr>
          <w:rFonts w:ascii="Georgia" w:eastAsia="Arial" w:hAnsi="Georgia" w:cs="Arial"/>
          <w:bCs/>
          <w:color w:val="auto"/>
          <w:sz w:val="20"/>
          <w:szCs w:val="20"/>
        </w:rPr>
        <w:t>financial advisor</w:t>
      </w:r>
      <w:r w:rsidRPr="000A729F">
        <w:rPr>
          <w:rFonts w:ascii="Georgia" w:eastAsia="Arial" w:hAnsi="Georgia" w:cs="Arial"/>
          <w:bCs/>
          <w:color w:val="auto"/>
          <w:sz w:val="20"/>
          <w:szCs w:val="20"/>
        </w:rPr>
        <w:t xml:space="preserve"> may choose to service only those brokerage account</w:t>
      </w:r>
      <w:r>
        <w:rPr>
          <w:rFonts w:ascii="Georgia" w:eastAsia="Arial" w:hAnsi="Georgia" w:cs="Arial"/>
          <w:bCs/>
          <w:color w:val="auto"/>
          <w:sz w:val="20"/>
          <w:szCs w:val="20"/>
        </w:rPr>
        <w:t xml:space="preserve"> clients</w:t>
      </w:r>
      <w:r w:rsidRPr="000A729F">
        <w:rPr>
          <w:rFonts w:ascii="Georgia" w:eastAsia="Arial" w:hAnsi="Georgia" w:cs="Arial"/>
          <w:bCs/>
          <w:color w:val="auto"/>
          <w:sz w:val="20"/>
          <w:szCs w:val="20"/>
        </w:rPr>
        <w:t xml:space="preserve"> </w:t>
      </w:r>
      <w:r>
        <w:rPr>
          <w:rFonts w:ascii="Georgia" w:eastAsia="Arial" w:hAnsi="Georgia" w:cs="Arial"/>
          <w:bCs/>
          <w:color w:val="auto"/>
          <w:sz w:val="20"/>
          <w:szCs w:val="20"/>
        </w:rPr>
        <w:t>who</w:t>
      </w:r>
      <w:r w:rsidRPr="000A729F">
        <w:rPr>
          <w:rFonts w:ascii="Georgia" w:eastAsia="Arial" w:hAnsi="Georgia" w:cs="Arial"/>
          <w:bCs/>
          <w:color w:val="auto"/>
          <w:sz w:val="20"/>
          <w:szCs w:val="20"/>
        </w:rPr>
        <w:t xml:space="preserve"> </w:t>
      </w:r>
      <w:r>
        <w:rPr>
          <w:rFonts w:ascii="Georgia" w:eastAsia="Arial" w:hAnsi="Georgia" w:cs="Arial"/>
          <w:bCs/>
          <w:color w:val="auto"/>
          <w:sz w:val="20"/>
          <w:szCs w:val="20"/>
        </w:rPr>
        <w:t>satisfy</w:t>
      </w:r>
      <w:r w:rsidRPr="000A729F">
        <w:rPr>
          <w:rFonts w:ascii="Georgia" w:eastAsia="Arial" w:hAnsi="Georgia" w:cs="Arial"/>
          <w:bCs/>
          <w:color w:val="auto"/>
          <w:sz w:val="20"/>
          <w:szCs w:val="20"/>
        </w:rPr>
        <w:t xml:space="preserve"> </w:t>
      </w:r>
      <w:r>
        <w:rPr>
          <w:rFonts w:ascii="Georgia" w:eastAsia="Arial" w:hAnsi="Georgia" w:cs="Arial"/>
          <w:bCs/>
          <w:color w:val="auto"/>
          <w:sz w:val="20"/>
          <w:szCs w:val="20"/>
        </w:rPr>
        <w:t>account-specific or total household asset conditions</w:t>
      </w:r>
      <w:r w:rsidRPr="000A729F">
        <w:rPr>
          <w:rFonts w:ascii="Georgia" w:eastAsia="Arial" w:hAnsi="Georgia" w:cs="Arial"/>
          <w:bCs/>
          <w:color w:val="auto"/>
          <w:sz w:val="20"/>
          <w:szCs w:val="20"/>
        </w:rPr>
        <w:t xml:space="preserve">. </w:t>
      </w:r>
      <w:r>
        <w:rPr>
          <w:rFonts w:ascii="Georgia" w:eastAsia="Arial" w:hAnsi="Georgia" w:cs="Arial"/>
          <w:bCs/>
          <w:color w:val="auto"/>
          <w:sz w:val="20"/>
          <w:szCs w:val="20"/>
        </w:rPr>
        <w:t>M</w:t>
      </w:r>
      <w:r w:rsidRPr="000A729F">
        <w:rPr>
          <w:rFonts w:ascii="Georgia" w:eastAsia="Arial" w:hAnsi="Georgia" w:cs="Arial"/>
          <w:bCs/>
          <w:color w:val="auto"/>
          <w:sz w:val="20"/>
          <w:szCs w:val="20"/>
        </w:rPr>
        <w:t xml:space="preserve">inimum asset requirements are disclosed to you orally by </w:t>
      </w:r>
      <w:r>
        <w:rPr>
          <w:rFonts w:ascii="Georgia" w:eastAsia="Arial" w:hAnsi="Georgia" w:cs="Arial"/>
          <w:bCs/>
          <w:color w:val="auto"/>
          <w:sz w:val="20"/>
          <w:szCs w:val="20"/>
        </w:rPr>
        <w:t>your</w:t>
      </w:r>
      <w:r w:rsidRPr="000A729F">
        <w:rPr>
          <w:rFonts w:ascii="Georgia" w:eastAsia="Arial" w:hAnsi="Georgia" w:cs="Arial"/>
          <w:bCs/>
          <w:color w:val="auto"/>
          <w:sz w:val="20"/>
          <w:szCs w:val="20"/>
        </w:rPr>
        <w:t xml:space="preserve"> </w:t>
      </w:r>
      <w:r>
        <w:rPr>
          <w:rFonts w:ascii="Georgia" w:eastAsia="Arial" w:hAnsi="Georgia" w:cs="Arial"/>
          <w:bCs/>
          <w:color w:val="auto"/>
          <w:sz w:val="20"/>
          <w:szCs w:val="20"/>
        </w:rPr>
        <w:t>financial advisor</w:t>
      </w:r>
      <w:r w:rsidRPr="000A729F">
        <w:rPr>
          <w:rFonts w:ascii="Georgia" w:eastAsia="Arial" w:hAnsi="Georgia" w:cs="Arial"/>
          <w:bCs/>
          <w:color w:val="auto"/>
          <w:sz w:val="20"/>
          <w:szCs w:val="20"/>
        </w:rPr>
        <w:t xml:space="preserve">. </w:t>
      </w:r>
    </w:p>
    <w:p w14:paraId="1C8C09A1" w14:textId="77777777" w:rsidR="001678E2" w:rsidRPr="000A729F" w:rsidRDefault="001678E2" w:rsidP="001678E2">
      <w:pPr>
        <w:pStyle w:val="Default"/>
        <w:ind w:left="90"/>
        <w:rPr>
          <w:rFonts w:ascii="Georgia" w:eastAsia="Arial" w:hAnsi="Georgia" w:cs="Arial"/>
          <w:bCs/>
          <w:color w:val="auto"/>
          <w:sz w:val="20"/>
          <w:szCs w:val="20"/>
        </w:rPr>
      </w:pPr>
    </w:p>
    <w:p w14:paraId="435A20C2" w14:textId="77777777" w:rsidR="001678E2" w:rsidRPr="00D91B68" w:rsidRDefault="001678E2" w:rsidP="001678E2">
      <w:pPr>
        <w:pStyle w:val="Heading1"/>
        <w:rPr>
          <w:rFonts w:ascii="Georgia" w:hAnsi="Georgia"/>
          <w:sz w:val="36"/>
          <w:szCs w:val="36"/>
          <w:u w:val="none"/>
        </w:rPr>
      </w:pPr>
      <w:r>
        <w:rPr>
          <w:rFonts w:ascii="Georgia" w:hAnsi="Georgia"/>
          <w:sz w:val="36"/>
          <w:szCs w:val="36"/>
          <w:u w:val="none"/>
        </w:rPr>
        <w:t>Brokerage s</w:t>
      </w:r>
      <w:r w:rsidRPr="00D91B68">
        <w:rPr>
          <w:rFonts w:ascii="Georgia" w:hAnsi="Georgia"/>
          <w:sz w:val="36"/>
          <w:szCs w:val="36"/>
          <w:u w:val="none"/>
        </w:rPr>
        <w:t xml:space="preserve">ervice </w:t>
      </w:r>
      <w:r>
        <w:rPr>
          <w:rFonts w:ascii="Georgia" w:hAnsi="Georgia"/>
          <w:sz w:val="36"/>
          <w:szCs w:val="36"/>
          <w:u w:val="none"/>
        </w:rPr>
        <w:t>m</w:t>
      </w:r>
      <w:r w:rsidRPr="00D91B68">
        <w:rPr>
          <w:rFonts w:ascii="Georgia" w:hAnsi="Georgia"/>
          <w:sz w:val="36"/>
          <w:szCs w:val="36"/>
          <w:u w:val="none"/>
        </w:rPr>
        <w:t xml:space="preserve">odels and </w:t>
      </w:r>
      <w:r>
        <w:rPr>
          <w:rFonts w:ascii="Georgia" w:hAnsi="Georgia"/>
          <w:sz w:val="36"/>
          <w:szCs w:val="36"/>
          <w:u w:val="none"/>
        </w:rPr>
        <w:t>products</w:t>
      </w:r>
    </w:p>
    <w:p w14:paraId="73A77FF3" w14:textId="77777777" w:rsidR="001678E2" w:rsidRPr="000A729F" w:rsidRDefault="001678E2" w:rsidP="001678E2">
      <w:pPr>
        <w:pStyle w:val="Default"/>
        <w:ind w:hanging="360"/>
        <w:rPr>
          <w:rFonts w:ascii="Georgia" w:eastAsia="Arial" w:hAnsi="Georgia" w:cs="Arial"/>
          <w:bCs/>
          <w:color w:val="auto"/>
          <w:sz w:val="20"/>
          <w:szCs w:val="20"/>
        </w:rPr>
      </w:pPr>
    </w:p>
    <w:p w14:paraId="7BE4866F" w14:textId="77777777" w:rsidR="001678E2" w:rsidRDefault="001678E2" w:rsidP="001678E2">
      <w:pPr>
        <w:pStyle w:val="Default"/>
        <w:ind w:left="90"/>
        <w:rPr>
          <w:rFonts w:ascii="Georgia" w:eastAsia="Arial" w:hAnsi="Georgia" w:cs="Arial"/>
          <w:bCs/>
          <w:color w:val="auto"/>
          <w:sz w:val="20"/>
          <w:szCs w:val="20"/>
        </w:rPr>
      </w:pPr>
      <w:r>
        <w:rPr>
          <w:rFonts w:ascii="Georgia" w:eastAsia="Arial" w:hAnsi="Georgia" w:cs="Arial"/>
          <w:bCs/>
          <w:color w:val="auto"/>
          <w:sz w:val="20"/>
          <w:szCs w:val="20"/>
        </w:rPr>
        <w:t xml:space="preserve">World is a </w:t>
      </w:r>
      <w:proofErr w:type="gramStart"/>
      <w:r>
        <w:rPr>
          <w:rFonts w:ascii="Georgia" w:eastAsia="Arial" w:hAnsi="Georgia" w:cs="Arial"/>
          <w:bCs/>
          <w:color w:val="auto"/>
          <w:sz w:val="20"/>
          <w:szCs w:val="20"/>
        </w:rPr>
        <w:t>full service</w:t>
      </w:r>
      <w:proofErr w:type="gramEnd"/>
      <w:r>
        <w:rPr>
          <w:rFonts w:ascii="Georgia" w:eastAsia="Arial" w:hAnsi="Georgia" w:cs="Arial"/>
          <w:bCs/>
          <w:color w:val="auto"/>
          <w:sz w:val="20"/>
          <w:szCs w:val="20"/>
        </w:rPr>
        <w:t xml:space="preserve"> broker dealer registered with the SEC, Financial Industry Regulatory Authority (FINRA), Municipal Securities Rulemaking Board (MSRB) and Securities Investor Protection Corporation (SIPC).  For the last forty years, the firm has specialized in investment grade municipal securities as its primary business, however, the firm is an active participant in all equity markets, corporate bond and preferred securities </w:t>
      </w:r>
      <w:proofErr w:type="gramStart"/>
      <w:r>
        <w:rPr>
          <w:rFonts w:ascii="Georgia" w:eastAsia="Arial" w:hAnsi="Georgia" w:cs="Arial"/>
          <w:bCs/>
          <w:color w:val="auto"/>
          <w:sz w:val="20"/>
          <w:szCs w:val="20"/>
        </w:rPr>
        <w:t>markets .</w:t>
      </w:r>
      <w:proofErr w:type="gramEnd"/>
      <w:r>
        <w:rPr>
          <w:rFonts w:ascii="Georgia" w:eastAsia="Arial" w:hAnsi="Georgia" w:cs="Arial"/>
          <w:bCs/>
          <w:color w:val="auto"/>
          <w:sz w:val="20"/>
          <w:szCs w:val="20"/>
        </w:rPr>
        <w:t xml:space="preserve">  The firm offers individual, joint, custodian, corporation, partnership, </w:t>
      </w:r>
      <w:proofErr w:type="gramStart"/>
      <w:r>
        <w:rPr>
          <w:rFonts w:ascii="Georgia" w:eastAsia="Arial" w:hAnsi="Georgia" w:cs="Arial"/>
          <w:bCs/>
          <w:color w:val="auto"/>
          <w:sz w:val="20"/>
          <w:szCs w:val="20"/>
        </w:rPr>
        <w:t>trust</w:t>
      </w:r>
      <w:proofErr w:type="gramEnd"/>
      <w:r>
        <w:rPr>
          <w:rFonts w:ascii="Georgia" w:eastAsia="Arial" w:hAnsi="Georgia" w:cs="Arial"/>
          <w:bCs/>
          <w:color w:val="auto"/>
          <w:sz w:val="20"/>
          <w:szCs w:val="20"/>
        </w:rPr>
        <w:t xml:space="preserve"> and estate accounts.  Governed under IRS Code, we additionally offer all IRA’s accounts i.e. Traditional, SEP, Inherited, Simple, Roth, SEP</w:t>
      </w:r>
    </w:p>
    <w:p w14:paraId="09064597" w14:textId="77777777" w:rsidR="001678E2" w:rsidRDefault="001678E2" w:rsidP="001678E2">
      <w:pPr>
        <w:pStyle w:val="Default"/>
        <w:ind w:left="90"/>
        <w:rPr>
          <w:rFonts w:ascii="Georgia" w:eastAsia="Arial" w:hAnsi="Georgia" w:cs="Arial"/>
          <w:bCs/>
          <w:color w:val="auto"/>
          <w:sz w:val="20"/>
          <w:szCs w:val="20"/>
        </w:rPr>
      </w:pPr>
    </w:p>
    <w:p w14:paraId="50A86FAC" w14:textId="77777777" w:rsidR="001678E2" w:rsidRPr="000A729F" w:rsidRDefault="001678E2" w:rsidP="001678E2">
      <w:pPr>
        <w:pStyle w:val="Default"/>
        <w:ind w:left="90"/>
        <w:rPr>
          <w:rFonts w:ascii="Georgia" w:hAnsi="Georgia"/>
          <w:color w:val="auto"/>
          <w:sz w:val="20"/>
          <w:szCs w:val="20"/>
        </w:rPr>
      </w:pPr>
      <w:r w:rsidRPr="000A729F">
        <w:rPr>
          <w:rFonts w:ascii="Georgia" w:hAnsi="Georgia"/>
          <w:color w:val="000000" w:themeColor="text1"/>
          <w:sz w:val="20"/>
          <w:szCs w:val="20"/>
        </w:rPr>
        <w:t xml:space="preserve"> </w:t>
      </w:r>
    </w:p>
    <w:p w14:paraId="68D0EDB4" w14:textId="77777777" w:rsidR="001678E2" w:rsidRDefault="001678E2" w:rsidP="001678E2">
      <w:pPr>
        <w:pStyle w:val="Default"/>
        <w:ind w:left="90"/>
        <w:rPr>
          <w:rFonts w:ascii="Georgia" w:eastAsia="Arial" w:hAnsi="Georgia" w:cs="Arial"/>
          <w:bCs/>
          <w:color w:val="auto"/>
        </w:rPr>
      </w:pPr>
    </w:p>
    <w:p w14:paraId="323BF286" w14:textId="77777777" w:rsidR="001678E2" w:rsidRPr="004A57A7" w:rsidRDefault="001678E2" w:rsidP="001678E2">
      <w:pPr>
        <w:pStyle w:val="Heading1"/>
        <w:rPr>
          <w:rFonts w:ascii="Georgia" w:hAnsi="Georgia"/>
          <w:sz w:val="36"/>
          <w:szCs w:val="36"/>
          <w:u w:val="none"/>
        </w:rPr>
      </w:pPr>
      <w:r>
        <w:rPr>
          <w:rFonts w:ascii="Georgia" w:hAnsi="Georgia"/>
          <w:sz w:val="36"/>
          <w:szCs w:val="36"/>
          <w:u w:val="none"/>
        </w:rPr>
        <w:t>Brokerage f</w:t>
      </w:r>
      <w:r w:rsidRPr="004A57A7">
        <w:rPr>
          <w:rFonts w:ascii="Georgia" w:hAnsi="Georgia"/>
          <w:sz w:val="36"/>
          <w:szCs w:val="36"/>
          <w:u w:val="none"/>
        </w:rPr>
        <w:t>ees</w:t>
      </w:r>
      <w:r>
        <w:rPr>
          <w:rFonts w:ascii="Georgia" w:hAnsi="Georgia"/>
          <w:sz w:val="36"/>
          <w:szCs w:val="36"/>
          <w:u w:val="none"/>
        </w:rPr>
        <w:t xml:space="preserve"> and our compensation</w:t>
      </w:r>
    </w:p>
    <w:p w14:paraId="40D3DA3E" w14:textId="77777777" w:rsidR="001678E2" w:rsidRDefault="001678E2" w:rsidP="001678E2">
      <w:pPr>
        <w:pStyle w:val="Default"/>
        <w:ind w:left="90"/>
        <w:rPr>
          <w:rFonts w:ascii="Georgia" w:eastAsia="Arial" w:hAnsi="Georgia" w:cs="Arial"/>
          <w:bCs/>
          <w:color w:val="auto"/>
          <w:sz w:val="20"/>
          <w:szCs w:val="20"/>
        </w:rPr>
      </w:pPr>
    </w:p>
    <w:p w14:paraId="1A685504" w14:textId="77777777" w:rsidR="001678E2" w:rsidRPr="000A729F" w:rsidRDefault="001678E2" w:rsidP="001678E2">
      <w:pPr>
        <w:pStyle w:val="Default"/>
        <w:ind w:left="90"/>
        <w:rPr>
          <w:rFonts w:ascii="Georgia" w:eastAsia="Arial" w:hAnsi="Georgia" w:cs="Arial"/>
          <w:bCs/>
          <w:color w:val="auto"/>
          <w:sz w:val="20"/>
          <w:szCs w:val="20"/>
        </w:rPr>
      </w:pPr>
      <w:r w:rsidRPr="000A729F">
        <w:rPr>
          <w:rFonts w:ascii="Georgia" w:eastAsia="Arial" w:hAnsi="Georgia" w:cs="Arial"/>
          <w:bCs/>
          <w:color w:val="auto"/>
          <w:sz w:val="20"/>
          <w:szCs w:val="20"/>
        </w:rPr>
        <w:t>It is important to consider that while a brokerage relationship can be a cost-effective way of investing your assets, it is not for everyone given the</w:t>
      </w:r>
      <w:r>
        <w:rPr>
          <w:rFonts w:ascii="Georgia" w:eastAsia="Arial" w:hAnsi="Georgia" w:cs="Arial"/>
          <w:bCs/>
          <w:color w:val="auto"/>
          <w:sz w:val="20"/>
          <w:szCs w:val="20"/>
        </w:rPr>
        <w:t xml:space="preserve"> fees and costs involved</w:t>
      </w:r>
      <w:r w:rsidRPr="000A729F">
        <w:rPr>
          <w:rFonts w:ascii="Georgia" w:eastAsia="Arial" w:hAnsi="Georgia" w:cs="Arial"/>
          <w:bCs/>
          <w:color w:val="auto"/>
          <w:sz w:val="20"/>
          <w:szCs w:val="20"/>
        </w:rPr>
        <w:t xml:space="preserve">. </w:t>
      </w:r>
    </w:p>
    <w:p w14:paraId="2F9241C9" w14:textId="77777777" w:rsidR="001678E2" w:rsidRDefault="001678E2" w:rsidP="001678E2">
      <w:pPr>
        <w:pStyle w:val="Default"/>
        <w:ind w:left="90"/>
        <w:rPr>
          <w:rFonts w:ascii="Georgia" w:eastAsia="Arial" w:hAnsi="Georgia" w:cs="Arial"/>
          <w:bCs/>
          <w:color w:val="auto"/>
        </w:rPr>
      </w:pPr>
    </w:p>
    <w:p w14:paraId="18F292DD" w14:textId="77777777" w:rsidR="001678E2" w:rsidRPr="000A729F" w:rsidRDefault="001678E2" w:rsidP="001678E2">
      <w:pPr>
        <w:pStyle w:val="Default"/>
        <w:adjustRightInd/>
        <w:ind w:firstLine="90"/>
        <w:rPr>
          <w:rFonts w:ascii="Georgia" w:hAnsi="Georgia"/>
          <w:b/>
          <w:bCs/>
          <w:iCs/>
          <w:color w:val="auto"/>
          <w:sz w:val="20"/>
          <w:szCs w:val="20"/>
        </w:rPr>
      </w:pPr>
      <w:r w:rsidRPr="000A729F">
        <w:rPr>
          <w:rFonts w:ascii="Georgia" w:hAnsi="Georgia"/>
          <w:b/>
          <w:bCs/>
          <w:iCs/>
          <w:color w:val="auto"/>
          <w:sz w:val="20"/>
          <w:szCs w:val="20"/>
        </w:rPr>
        <w:t>Transaction-Based Fees</w:t>
      </w:r>
    </w:p>
    <w:p w14:paraId="2CF8EFC5" w14:textId="77777777" w:rsidR="001678E2" w:rsidRPr="000A729F" w:rsidRDefault="001678E2" w:rsidP="001678E2">
      <w:pPr>
        <w:pStyle w:val="Default"/>
        <w:ind w:left="120"/>
        <w:rPr>
          <w:rFonts w:ascii="Georgia" w:eastAsia="Arial" w:hAnsi="Georgia" w:cs="Arial"/>
          <w:bCs/>
          <w:color w:val="auto"/>
          <w:sz w:val="20"/>
          <w:szCs w:val="20"/>
        </w:rPr>
      </w:pPr>
      <w:r w:rsidRPr="000A729F">
        <w:rPr>
          <w:rFonts w:ascii="Georgia" w:eastAsia="Arial" w:hAnsi="Georgia" w:cs="Arial"/>
          <w:bCs/>
          <w:color w:val="auto"/>
          <w:sz w:val="20"/>
          <w:szCs w:val="20"/>
        </w:rPr>
        <w:t>You will pay transaction-based fees for trades you decide to enter into, such as buying and selling stocks, bonds, Exchange Traded Products (ETPs), mutual funds, annuity contracts</w:t>
      </w:r>
      <w:r>
        <w:rPr>
          <w:rFonts w:ascii="Georgia" w:eastAsia="Arial" w:hAnsi="Georgia" w:cs="Arial"/>
          <w:bCs/>
          <w:color w:val="auto"/>
          <w:sz w:val="20"/>
          <w:szCs w:val="20"/>
        </w:rPr>
        <w:t>, exercising options</w:t>
      </w:r>
      <w:r w:rsidRPr="000A729F">
        <w:rPr>
          <w:rFonts w:ascii="Georgia" w:eastAsia="Arial" w:hAnsi="Georgia" w:cs="Arial"/>
          <w:bCs/>
          <w:color w:val="auto"/>
          <w:sz w:val="20"/>
          <w:szCs w:val="20"/>
        </w:rPr>
        <w:t xml:space="preserve"> and other investment </w:t>
      </w:r>
      <w:r>
        <w:rPr>
          <w:rFonts w:ascii="Georgia" w:eastAsia="Arial" w:hAnsi="Georgia" w:cs="Arial"/>
          <w:bCs/>
          <w:color w:val="auto"/>
          <w:sz w:val="20"/>
          <w:szCs w:val="20"/>
        </w:rPr>
        <w:t>purchases and sale</w:t>
      </w:r>
      <w:r w:rsidRPr="000A729F">
        <w:rPr>
          <w:rFonts w:ascii="Georgia" w:eastAsia="Arial" w:hAnsi="Georgia" w:cs="Arial"/>
          <w:bCs/>
          <w:color w:val="auto"/>
          <w:sz w:val="20"/>
          <w:szCs w:val="20"/>
        </w:rPr>
        <w:t>. These transaction-based fees are generally referred to as a “commission,” “mark up,” “sales load,” or a “sales charge.” Transaction-based fees are based on a host of factors, including, but not limited to:</w:t>
      </w:r>
    </w:p>
    <w:p w14:paraId="651316FB" w14:textId="77777777" w:rsidR="001678E2" w:rsidRPr="000A729F" w:rsidRDefault="001678E2" w:rsidP="001678E2">
      <w:pPr>
        <w:pStyle w:val="Default"/>
        <w:numPr>
          <w:ilvl w:val="0"/>
          <w:numId w:val="1"/>
        </w:numPr>
        <w:ind w:left="480"/>
        <w:rPr>
          <w:rFonts w:ascii="Georgia" w:eastAsia="Arial" w:hAnsi="Georgia" w:cs="Arial"/>
          <w:bCs/>
          <w:color w:val="auto"/>
          <w:sz w:val="20"/>
          <w:szCs w:val="20"/>
        </w:rPr>
      </w:pPr>
      <w:r w:rsidRPr="000A729F">
        <w:rPr>
          <w:rFonts w:ascii="Georgia" w:eastAsia="Arial" w:hAnsi="Georgia" w:cs="Arial"/>
          <w:bCs/>
          <w:color w:val="auto"/>
          <w:sz w:val="20"/>
          <w:szCs w:val="20"/>
        </w:rPr>
        <w:t xml:space="preserve">Underlying product selection </w:t>
      </w:r>
    </w:p>
    <w:p w14:paraId="286580CA" w14:textId="77777777" w:rsidR="001678E2" w:rsidRPr="000A729F" w:rsidRDefault="001678E2" w:rsidP="001678E2">
      <w:pPr>
        <w:pStyle w:val="Default"/>
        <w:numPr>
          <w:ilvl w:val="0"/>
          <w:numId w:val="1"/>
        </w:numPr>
        <w:ind w:left="480"/>
        <w:rPr>
          <w:rFonts w:ascii="Georgia" w:eastAsia="Arial" w:hAnsi="Georgia" w:cs="Arial"/>
          <w:bCs/>
          <w:color w:val="auto"/>
          <w:sz w:val="20"/>
          <w:szCs w:val="20"/>
        </w:rPr>
      </w:pPr>
      <w:r w:rsidRPr="000A729F">
        <w:rPr>
          <w:rFonts w:ascii="Georgia" w:eastAsia="Arial" w:hAnsi="Georgia" w:cs="Arial"/>
          <w:bCs/>
          <w:color w:val="auto"/>
          <w:sz w:val="20"/>
          <w:szCs w:val="20"/>
        </w:rPr>
        <w:t>Your brokerage service model and account type</w:t>
      </w:r>
    </w:p>
    <w:p w14:paraId="590A848C" w14:textId="77777777" w:rsidR="001678E2" w:rsidRPr="000A729F" w:rsidRDefault="001678E2" w:rsidP="001678E2">
      <w:pPr>
        <w:pStyle w:val="Default"/>
        <w:numPr>
          <w:ilvl w:val="0"/>
          <w:numId w:val="1"/>
        </w:numPr>
        <w:ind w:left="480"/>
        <w:rPr>
          <w:rFonts w:ascii="Georgia" w:eastAsia="Arial" w:hAnsi="Georgia" w:cs="Arial"/>
          <w:bCs/>
          <w:color w:val="auto"/>
          <w:sz w:val="20"/>
          <w:szCs w:val="20"/>
        </w:rPr>
      </w:pPr>
      <w:r w:rsidRPr="000A729F">
        <w:rPr>
          <w:rFonts w:ascii="Georgia" w:eastAsia="Arial" w:hAnsi="Georgia" w:cs="Arial"/>
          <w:bCs/>
          <w:color w:val="auto"/>
          <w:sz w:val="20"/>
          <w:szCs w:val="20"/>
        </w:rPr>
        <w:t>Size of your transaction and/or overall value of your account</w:t>
      </w:r>
    </w:p>
    <w:p w14:paraId="038BCD6C" w14:textId="77777777" w:rsidR="001678E2" w:rsidRPr="000A729F" w:rsidRDefault="001678E2" w:rsidP="001678E2">
      <w:pPr>
        <w:pStyle w:val="Default"/>
        <w:numPr>
          <w:ilvl w:val="0"/>
          <w:numId w:val="1"/>
        </w:numPr>
        <w:ind w:left="480"/>
        <w:rPr>
          <w:rFonts w:ascii="Georgia" w:eastAsia="Arial" w:hAnsi="Georgia" w:cs="Arial"/>
          <w:bCs/>
          <w:color w:val="auto"/>
          <w:sz w:val="20"/>
          <w:szCs w:val="20"/>
        </w:rPr>
      </w:pPr>
      <w:r w:rsidRPr="000A729F">
        <w:rPr>
          <w:rFonts w:ascii="Georgia" w:eastAsia="Arial" w:hAnsi="Georgia" w:cs="Arial"/>
          <w:bCs/>
          <w:color w:val="auto"/>
          <w:sz w:val="20"/>
          <w:szCs w:val="20"/>
        </w:rPr>
        <w:t>Frequency of your trade activity</w:t>
      </w:r>
    </w:p>
    <w:p w14:paraId="2554648E" w14:textId="77777777" w:rsidR="001678E2" w:rsidRPr="000A729F" w:rsidRDefault="001678E2" w:rsidP="001678E2">
      <w:pPr>
        <w:pStyle w:val="Default"/>
        <w:numPr>
          <w:ilvl w:val="0"/>
          <w:numId w:val="1"/>
        </w:numPr>
        <w:ind w:left="480"/>
        <w:rPr>
          <w:rFonts w:ascii="Georgia" w:eastAsia="Arial" w:hAnsi="Georgia" w:cs="Arial"/>
          <w:bCs/>
          <w:color w:val="auto"/>
          <w:sz w:val="20"/>
          <w:szCs w:val="20"/>
        </w:rPr>
      </w:pPr>
      <w:r>
        <w:rPr>
          <w:rFonts w:ascii="Georgia" w:eastAsia="Arial" w:hAnsi="Georgia" w:cs="Arial"/>
          <w:bCs/>
          <w:color w:val="auto"/>
          <w:sz w:val="20"/>
          <w:szCs w:val="20"/>
        </w:rPr>
        <w:t>Available discounts and/or fee waivers</w:t>
      </w:r>
    </w:p>
    <w:p w14:paraId="31A25788" w14:textId="77777777" w:rsidR="001678E2" w:rsidRPr="000A729F" w:rsidRDefault="001678E2" w:rsidP="001678E2">
      <w:pPr>
        <w:pStyle w:val="Default"/>
        <w:ind w:left="120"/>
        <w:rPr>
          <w:rFonts w:ascii="Georgia" w:eastAsia="Arial" w:hAnsi="Georgia" w:cs="Arial"/>
          <w:bCs/>
          <w:color w:val="auto"/>
          <w:sz w:val="20"/>
          <w:szCs w:val="20"/>
        </w:rPr>
      </w:pPr>
    </w:p>
    <w:p w14:paraId="3C04BBDF" w14:textId="77777777" w:rsidR="001678E2" w:rsidRPr="000A729F" w:rsidRDefault="001678E2" w:rsidP="001678E2">
      <w:pPr>
        <w:pStyle w:val="Default"/>
        <w:adjustRightInd/>
        <w:ind w:firstLine="120"/>
        <w:rPr>
          <w:rFonts w:ascii="Georgia" w:hAnsi="Georgia"/>
          <w:b/>
          <w:bCs/>
          <w:iCs/>
          <w:color w:val="auto"/>
          <w:sz w:val="20"/>
          <w:szCs w:val="20"/>
        </w:rPr>
      </w:pPr>
      <w:r w:rsidRPr="000A729F">
        <w:rPr>
          <w:rFonts w:ascii="Georgia" w:hAnsi="Georgia"/>
          <w:b/>
          <w:bCs/>
          <w:iCs/>
          <w:color w:val="auto"/>
          <w:sz w:val="20"/>
          <w:szCs w:val="20"/>
        </w:rPr>
        <w:lastRenderedPageBreak/>
        <w:t xml:space="preserve">Account and Service Fees </w:t>
      </w:r>
    </w:p>
    <w:p w14:paraId="1CA82E15" w14:textId="77777777" w:rsidR="001678E2" w:rsidRPr="000A729F" w:rsidRDefault="001678E2" w:rsidP="001678E2">
      <w:pPr>
        <w:pStyle w:val="Default"/>
        <w:ind w:left="120"/>
        <w:rPr>
          <w:rFonts w:ascii="Georgia" w:hAnsi="Georgia"/>
          <w:sz w:val="20"/>
          <w:szCs w:val="20"/>
        </w:rPr>
      </w:pPr>
      <w:r w:rsidRPr="000A729F">
        <w:rPr>
          <w:rFonts w:ascii="Georgia" w:eastAsia="Arial" w:hAnsi="Georgia" w:cs="Arial"/>
          <w:bCs/>
          <w:color w:val="auto"/>
          <w:sz w:val="20"/>
          <w:szCs w:val="20"/>
        </w:rPr>
        <w:t xml:space="preserve">You will pay fees for various operational services provided to you through your brokerage account. These fees are set at least annually and communicated to you </w:t>
      </w:r>
      <w:r>
        <w:rPr>
          <w:rFonts w:ascii="Georgia" w:eastAsia="Arial" w:hAnsi="Georgia" w:cs="Arial"/>
          <w:bCs/>
          <w:color w:val="auto"/>
          <w:sz w:val="20"/>
          <w:szCs w:val="20"/>
        </w:rPr>
        <w:t>through</w:t>
      </w:r>
      <w:r w:rsidRPr="000A729F">
        <w:rPr>
          <w:rFonts w:ascii="Georgia" w:eastAsia="Arial" w:hAnsi="Georgia" w:cs="Arial"/>
          <w:bCs/>
          <w:color w:val="auto"/>
          <w:sz w:val="20"/>
          <w:szCs w:val="20"/>
        </w:rPr>
        <w:t xml:space="preserve"> </w:t>
      </w:r>
      <w:r>
        <w:rPr>
          <w:rFonts w:ascii="Georgia" w:eastAsia="Arial" w:hAnsi="Georgia" w:cs="Arial"/>
          <w:bCs/>
          <w:color w:val="auto"/>
          <w:sz w:val="20"/>
          <w:szCs w:val="20"/>
        </w:rPr>
        <w:t>information</w:t>
      </w:r>
      <w:r w:rsidRPr="000A729F">
        <w:rPr>
          <w:rFonts w:ascii="Georgia" w:eastAsia="Arial" w:hAnsi="Georgia" w:cs="Arial"/>
          <w:bCs/>
          <w:color w:val="auto"/>
          <w:sz w:val="20"/>
          <w:szCs w:val="20"/>
        </w:rPr>
        <w:t xml:space="preserve"> included in your account statement and other notifications. These fees do not apply to all account types and may be waived under certain conditions. </w:t>
      </w:r>
    </w:p>
    <w:p w14:paraId="7AFCADD2" w14:textId="77777777" w:rsidR="001678E2" w:rsidRPr="000A729F" w:rsidRDefault="001678E2" w:rsidP="001678E2">
      <w:pPr>
        <w:pStyle w:val="Default"/>
        <w:ind w:left="120"/>
        <w:rPr>
          <w:rFonts w:ascii="Georgia" w:eastAsia="Arial" w:hAnsi="Georgia" w:cs="Arial"/>
          <w:bCs/>
          <w:color w:val="auto"/>
          <w:sz w:val="20"/>
          <w:szCs w:val="20"/>
        </w:rPr>
      </w:pPr>
    </w:p>
    <w:p w14:paraId="4AA55B75" w14:textId="77777777" w:rsidR="001678E2" w:rsidRPr="007F6B81" w:rsidRDefault="001678E2" w:rsidP="001678E2">
      <w:pPr>
        <w:pStyle w:val="Default"/>
        <w:ind w:left="90"/>
        <w:rPr>
          <w:rFonts w:ascii="Georgia" w:eastAsia="Arial" w:hAnsi="Georgia" w:cs="Arial"/>
          <w:bCs/>
          <w:color w:val="auto"/>
          <w:sz w:val="20"/>
          <w:szCs w:val="20"/>
        </w:rPr>
      </w:pPr>
      <w:r w:rsidRPr="000A729F">
        <w:rPr>
          <w:rFonts w:ascii="Georgia" w:eastAsia="Arial" w:hAnsi="Georgia" w:cs="Arial"/>
          <w:bCs/>
          <w:color w:val="auto"/>
          <w:sz w:val="20"/>
          <w:szCs w:val="20"/>
        </w:rPr>
        <w:t xml:space="preserve">You should understand that based on the brokerage service model you choose, the same or similar products, accounts and services may vary in the fees and costs charged to you. </w:t>
      </w:r>
      <w:r>
        <w:rPr>
          <w:rFonts w:ascii="Georgia" w:eastAsia="Arial" w:hAnsi="Georgia" w:cs="Arial"/>
          <w:bCs/>
          <w:color w:val="auto"/>
          <w:sz w:val="20"/>
          <w:szCs w:val="20"/>
        </w:rPr>
        <w:t>For more information concerning our administrative and service fees, visit us at www.worldfinancial.net</w:t>
      </w:r>
      <w:r w:rsidRPr="001C4C59">
        <w:rPr>
          <w:rFonts w:ascii="Georgia" w:eastAsia="Arial" w:hAnsi="Georgia" w:cs="Arial"/>
          <w:bCs/>
          <w:color w:val="auto"/>
          <w:sz w:val="20"/>
          <w:szCs w:val="20"/>
        </w:rPr>
        <w:t>.</w:t>
      </w:r>
    </w:p>
    <w:p w14:paraId="44B26F3F" w14:textId="77777777" w:rsidR="001678E2" w:rsidRDefault="001678E2" w:rsidP="001678E2">
      <w:pPr>
        <w:pStyle w:val="Default"/>
        <w:ind w:left="120"/>
        <w:rPr>
          <w:rFonts w:ascii="Georgia" w:eastAsia="Arial" w:hAnsi="Georgia" w:cs="Arial"/>
          <w:bCs/>
          <w:color w:val="auto"/>
        </w:rPr>
      </w:pPr>
    </w:p>
    <w:p w14:paraId="0C629244" w14:textId="77777777" w:rsidR="001678E2" w:rsidRPr="000A729F" w:rsidRDefault="001678E2" w:rsidP="001678E2">
      <w:pPr>
        <w:widowControl/>
        <w:adjustRightInd w:val="0"/>
        <w:ind w:firstLine="120"/>
        <w:rPr>
          <w:rFonts w:ascii="Georgia" w:eastAsiaTheme="minorHAnsi" w:hAnsi="Georgia" w:cs="Georgia"/>
          <w:b/>
          <w:color w:val="000000"/>
          <w:sz w:val="20"/>
          <w:szCs w:val="20"/>
        </w:rPr>
      </w:pPr>
      <w:r w:rsidRPr="008038FE">
        <w:rPr>
          <w:rFonts w:ascii="Georgia" w:eastAsiaTheme="minorHAnsi" w:hAnsi="Georgia" w:cs="Georgia"/>
          <w:b/>
          <w:color w:val="000000"/>
          <w:sz w:val="20"/>
          <w:szCs w:val="20"/>
        </w:rPr>
        <w:t>How We Are Compensated</w:t>
      </w:r>
    </w:p>
    <w:p w14:paraId="3C91EE08" w14:textId="77777777" w:rsidR="001678E2" w:rsidRPr="008038FE" w:rsidRDefault="001678E2" w:rsidP="001678E2">
      <w:pPr>
        <w:pStyle w:val="Default"/>
        <w:ind w:left="120"/>
        <w:rPr>
          <w:rFonts w:ascii="Georgia" w:eastAsia="Arial" w:hAnsi="Georgia" w:cs="Arial"/>
          <w:bCs/>
          <w:color w:val="auto"/>
          <w:sz w:val="20"/>
          <w:szCs w:val="20"/>
        </w:rPr>
      </w:pPr>
      <w:r w:rsidRPr="008038FE">
        <w:rPr>
          <w:rFonts w:ascii="Georgia" w:hAnsi="Georgia" w:cs="Georgia"/>
          <w:sz w:val="20"/>
          <w:szCs w:val="20"/>
        </w:rPr>
        <w:t>We receive direct and indirect compensation in connection with your accounts. Direct compensation is taken directly from the affected account. Indirect compensation is compensation paid in ways other than directly from the account and may impact the value of the associated investment</w:t>
      </w:r>
      <w:r>
        <w:rPr>
          <w:rFonts w:ascii="Georgia" w:hAnsi="Georgia" w:cs="Georgia"/>
          <w:sz w:val="20"/>
          <w:szCs w:val="20"/>
        </w:rPr>
        <w:t>s</w:t>
      </w:r>
      <w:r w:rsidRPr="008038FE">
        <w:rPr>
          <w:rFonts w:ascii="Georgia" w:hAnsi="Georgia" w:cs="Georgia"/>
          <w:sz w:val="20"/>
          <w:szCs w:val="20"/>
        </w:rPr>
        <w:t xml:space="preserve"> in your account. The sections below describe the compensation that we receive in connection with various investments that may be available to you. In many cases, the descriptions that follow refer to a prospectus or offering documents</w:t>
      </w:r>
      <w:r>
        <w:rPr>
          <w:rFonts w:ascii="Georgia" w:hAnsi="Georgia" w:cs="Georgia"/>
          <w:sz w:val="20"/>
          <w:szCs w:val="20"/>
        </w:rPr>
        <w:t xml:space="preserve"> such as a mutual fund, new issue preferred stock or syndicate new issue municipal underwriting</w:t>
      </w:r>
    </w:p>
    <w:p w14:paraId="45656CA4" w14:textId="77777777" w:rsidR="001678E2" w:rsidRDefault="001678E2" w:rsidP="001678E2">
      <w:pPr>
        <w:pStyle w:val="Default"/>
        <w:ind w:left="120"/>
        <w:rPr>
          <w:rFonts w:ascii="Georgia" w:eastAsia="Arial" w:hAnsi="Georgia" w:cs="Arial"/>
          <w:bCs/>
          <w:color w:val="auto"/>
          <w:sz w:val="20"/>
          <w:szCs w:val="20"/>
        </w:rPr>
      </w:pPr>
    </w:p>
    <w:p w14:paraId="5F05B135" w14:textId="77777777" w:rsidR="001678E2" w:rsidRDefault="001678E2" w:rsidP="001678E2">
      <w:pPr>
        <w:pStyle w:val="Default"/>
        <w:ind w:left="120"/>
        <w:rPr>
          <w:rFonts w:ascii="Georgia" w:eastAsia="Arial" w:hAnsi="Georgia" w:cs="Arial"/>
          <w:b/>
          <w:bCs/>
          <w:i/>
          <w:color w:val="auto"/>
          <w:sz w:val="20"/>
          <w:szCs w:val="20"/>
          <w:u w:val="single"/>
        </w:rPr>
      </w:pPr>
      <w:r w:rsidRPr="0098039E">
        <w:rPr>
          <w:rFonts w:ascii="Georgia" w:eastAsia="Arial" w:hAnsi="Georgia" w:cs="Arial"/>
          <w:b/>
          <w:bCs/>
          <w:i/>
          <w:color w:val="auto"/>
          <w:sz w:val="20"/>
          <w:szCs w:val="20"/>
          <w:u w:val="single"/>
        </w:rPr>
        <w:t>Financial Advisor Schedule</w:t>
      </w:r>
      <w:r>
        <w:rPr>
          <w:rFonts w:ascii="Georgia" w:eastAsia="Arial" w:hAnsi="Georgia" w:cs="Arial"/>
          <w:b/>
          <w:bCs/>
          <w:i/>
          <w:color w:val="auto"/>
          <w:sz w:val="20"/>
          <w:szCs w:val="20"/>
          <w:u w:val="single"/>
        </w:rPr>
        <w:t>s</w:t>
      </w:r>
      <w:r w:rsidRPr="0098039E">
        <w:rPr>
          <w:rFonts w:ascii="Georgia" w:eastAsia="Arial" w:hAnsi="Georgia" w:cs="Arial"/>
          <w:b/>
          <w:bCs/>
          <w:i/>
          <w:color w:val="auto"/>
          <w:sz w:val="20"/>
          <w:szCs w:val="20"/>
          <w:u w:val="single"/>
        </w:rPr>
        <w:t xml:space="preserve"> </w:t>
      </w:r>
    </w:p>
    <w:p w14:paraId="786C3217" w14:textId="77777777" w:rsidR="001678E2" w:rsidRDefault="001678E2" w:rsidP="001678E2">
      <w:pPr>
        <w:pStyle w:val="Default"/>
        <w:ind w:left="120"/>
        <w:rPr>
          <w:rFonts w:ascii="Georgia" w:eastAsia="Arial" w:hAnsi="Georgia" w:cs="Arial"/>
          <w:b/>
          <w:bCs/>
          <w:i/>
          <w:color w:val="auto"/>
          <w:sz w:val="20"/>
          <w:szCs w:val="20"/>
          <w:u w:val="single"/>
        </w:rPr>
      </w:pPr>
    </w:p>
    <w:p w14:paraId="69CA9583" w14:textId="77777777" w:rsidR="001678E2" w:rsidRPr="008038FE" w:rsidRDefault="001678E2" w:rsidP="001678E2">
      <w:pPr>
        <w:pStyle w:val="Default"/>
        <w:ind w:left="120"/>
        <w:rPr>
          <w:rFonts w:ascii="Georgia" w:eastAsia="Arial" w:hAnsi="Georgia" w:cs="Arial"/>
          <w:bCs/>
          <w:color w:val="auto"/>
          <w:sz w:val="20"/>
          <w:szCs w:val="20"/>
        </w:rPr>
      </w:pPr>
    </w:p>
    <w:p w14:paraId="1BD6B7DB" w14:textId="77777777" w:rsidR="001678E2" w:rsidRPr="007F6B81" w:rsidRDefault="001678E2" w:rsidP="001678E2">
      <w:pPr>
        <w:widowControl/>
        <w:adjustRightInd w:val="0"/>
        <w:ind w:left="120"/>
        <w:rPr>
          <w:rFonts w:ascii="Georgia" w:eastAsiaTheme="minorHAnsi" w:hAnsi="Georgia" w:cs="Georgia"/>
          <w:b/>
          <w:color w:val="000000"/>
          <w:sz w:val="20"/>
          <w:szCs w:val="20"/>
        </w:rPr>
      </w:pPr>
      <w:r w:rsidRPr="007F6B81">
        <w:rPr>
          <w:rFonts w:ascii="Georgia" w:eastAsiaTheme="minorHAnsi" w:hAnsi="Georgia" w:cs="Georgia"/>
          <w:b/>
          <w:color w:val="000000"/>
          <w:sz w:val="20"/>
          <w:szCs w:val="20"/>
        </w:rPr>
        <w:t xml:space="preserve">Commission Schedule for Stocks, Rights, Warrants, Secondary Market Closed End Funds (CEFs) and Exchange Traded Products (ETPs) </w:t>
      </w:r>
    </w:p>
    <w:p w14:paraId="17580A4D" w14:textId="77777777" w:rsidR="001678E2" w:rsidRPr="008038FE" w:rsidRDefault="001678E2" w:rsidP="001678E2">
      <w:pPr>
        <w:widowControl/>
        <w:adjustRightInd w:val="0"/>
        <w:ind w:left="120"/>
        <w:rPr>
          <w:rFonts w:ascii="Georgia" w:eastAsiaTheme="minorHAnsi" w:hAnsi="Georgia" w:cs="Georgia"/>
          <w:color w:val="000000"/>
          <w:sz w:val="20"/>
          <w:szCs w:val="20"/>
        </w:rPr>
      </w:pPr>
      <w:r w:rsidRPr="008038FE">
        <w:rPr>
          <w:rFonts w:ascii="Georgia" w:eastAsiaTheme="minorHAnsi" w:hAnsi="Georgia" w:cs="Georgia"/>
          <w:color w:val="000000"/>
          <w:sz w:val="20"/>
          <w:szCs w:val="20"/>
        </w:rPr>
        <w:t xml:space="preserve">This schedule below details the commission charged to you and received by us and your </w:t>
      </w:r>
      <w:r>
        <w:rPr>
          <w:rFonts w:ascii="Georgia" w:eastAsiaTheme="minorHAnsi" w:hAnsi="Georgia" w:cs="Georgia"/>
          <w:color w:val="000000"/>
          <w:sz w:val="20"/>
          <w:szCs w:val="20"/>
        </w:rPr>
        <w:t>financial advisor</w:t>
      </w:r>
      <w:r w:rsidRPr="008038FE">
        <w:rPr>
          <w:rFonts w:ascii="Georgia" w:eastAsiaTheme="minorHAnsi" w:hAnsi="Georgia" w:cs="Georgia"/>
          <w:color w:val="000000"/>
          <w:sz w:val="20"/>
          <w:szCs w:val="20"/>
        </w:rPr>
        <w:t xml:space="preserve"> for trades of stocks, rights, and warrants. </w:t>
      </w:r>
    </w:p>
    <w:p w14:paraId="278FF93A" w14:textId="77777777" w:rsidR="001678E2" w:rsidRDefault="001678E2" w:rsidP="001678E2">
      <w:pPr>
        <w:widowControl/>
        <w:adjustRightInd w:val="0"/>
        <w:rPr>
          <w:rFonts w:ascii="Georgia" w:eastAsiaTheme="minorHAnsi" w:hAnsi="Georgia" w:cs="Georgia"/>
          <w:b/>
          <w:bCs/>
          <w:color w:val="000000"/>
          <w:sz w:val="23"/>
          <w:szCs w:val="23"/>
        </w:rPr>
      </w:pPr>
    </w:p>
    <w:p w14:paraId="5958E3F6" w14:textId="77777777" w:rsidR="001678E2" w:rsidRDefault="001678E2" w:rsidP="001678E2">
      <w:pPr>
        <w:widowControl/>
        <w:adjustRightInd w:val="0"/>
        <w:rPr>
          <w:rFonts w:ascii="Georgia" w:eastAsiaTheme="minorHAnsi" w:hAnsi="Georgia" w:cs="Georgia"/>
          <w:b/>
          <w:bCs/>
          <w:color w:val="000000"/>
          <w:sz w:val="23"/>
          <w:szCs w:val="23"/>
        </w:rPr>
      </w:pPr>
    </w:p>
    <w:tbl>
      <w:tblPr>
        <w:tblW w:w="0" w:type="auto"/>
        <w:tblInd w:w="80" w:type="dxa"/>
        <w:tblCellMar>
          <w:left w:w="0" w:type="dxa"/>
          <w:right w:w="0" w:type="dxa"/>
        </w:tblCellMar>
        <w:tblLook w:val="04A0" w:firstRow="1" w:lastRow="0" w:firstColumn="1" w:lastColumn="0" w:noHBand="0" w:noVBand="1"/>
      </w:tblPr>
      <w:tblGrid>
        <w:gridCol w:w="3531"/>
        <w:gridCol w:w="3039"/>
      </w:tblGrid>
      <w:tr w:rsidR="001678E2" w:rsidRPr="00447DF9" w14:paraId="27B26785" w14:textId="77777777" w:rsidTr="005546CB">
        <w:trPr>
          <w:trHeight w:val="176"/>
        </w:trPr>
        <w:tc>
          <w:tcPr>
            <w:tcW w:w="3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2E2F8E" w14:textId="77777777" w:rsidR="001678E2" w:rsidRPr="00447DF9" w:rsidRDefault="001678E2" w:rsidP="005546CB">
            <w:pPr>
              <w:rPr>
                <w:rFonts w:ascii="Georgia" w:eastAsiaTheme="minorHAnsi" w:hAnsi="Georgia" w:cs="Times New Roman"/>
                <w:sz w:val="20"/>
                <w:szCs w:val="20"/>
              </w:rPr>
            </w:pPr>
            <w:r>
              <w:rPr>
                <w:rFonts w:ascii="Georgia" w:eastAsiaTheme="minorHAnsi" w:hAnsi="Georgia" w:cs="Times New Roman"/>
                <w:sz w:val="20"/>
                <w:szCs w:val="20"/>
              </w:rPr>
              <w:t>Any Equity Transaction</w:t>
            </w:r>
          </w:p>
        </w:tc>
        <w:tc>
          <w:tcPr>
            <w:tcW w:w="3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E3369A" w14:textId="77777777" w:rsidR="001678E2" w:rsidRPr="00447DF9" w:rsidRDefault="001678E2" w:rsidP="005546CB">
            <w:pPr>
              <w:jc w:val="center"/>
              <w:rPr>
                <w:rFonts w:ascii="Georgia" w:hAnsi="Georgia"/>
                <w:sz w:val="20"/>
                <w:szCs w:val="20"/>
              </w:rPr>
            </w:pPr>
            <w:r>
              <w:rPr>
                <w:rFonts w:ascii="Georgia" w:hAnsi="Georgia"/>
                <w:sz w:val="20"/>
                <w:szCs w:val="20"/>
              </w:rPr>
              <w:t>% discount from First Clearing Standard Commission Schedule</w:t>
            </w:r>
          </w:p>
        </w:tc>
      </w:tr>
      <w:tr w:rsidR="001678E2" w:rsidRPr="00447DF9" w14:paraId="01FB988B" w14:textId="77777777" w:rsidTr="005546CB">
        <w:trPr>
          <w:trHeight w:val="192"/>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3A2E4A" w14:textId="77777777" w:rsidR="001678E2" w:rsidRPr="00447DF9" w:rsidRDefault="001678E2" w:rsidP="005546CB">
            <w:pPr>
              <w:jc w:val="center"/>
              <w:rPr>
                <w:rFonts w:ascii="Georgia" w:hAnsi="Georgia"/>
                <w:sz w:val="20"/>
                <w:szCs w:val="20"/>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14:paraId="0D0E8B1D" w14:textId="77777777" w:rsidR="001678E2" w:rsidRPr="00447DF9" w:rsidRDefault="001678E2" w:rsidP="005546CB">
            <w:pPr>
              <w:jc w:val="center"/>
              <w:rPr>
                <w:rFonts w:ascii="Georgia" w:hAnsi="Georgia"/>
                <w:i/>
                <w:sz w:val="20"/>
                <w:szCs w:val="20"/>
              </w:rPr>
            </w:pPr>
          </w:p>
        </w:tc>
      </w:tr>
    </w:tbl>
    <w:p w14:paraId="2C17B36A" w14:textId="77777777" w:rsidR="001678E2" w:rsidRPr="0020002F" w:rsidRDefault="001678E2" w:rsidP="001678E2">
      <w:pPr>
        <w:pStyle w:val="Heading2"/>
        <w:spacing w:before="75"/>
        <w:rPr>
          <w:i/>
        </w:rPr>
      </w:pPr>
    </w:p>
    <w:p w14:paraId="244AAED0" w14:textId="77777777" w:rsidR="001678E2" w:rsidRPr="007F6B81" w:rsidRDefault="001678E2" w:rsidP="001678E2">
      <w:pPr>
        <w:widowControl/>
        <w:adjustRightInd w:val="0"/>
        <w:ind w:firstLine="120"/>
        <w:rPr>
          <w:rFonts w:ascii="Georgia" w:eastAsiaTheme="minorHAnsi" w:hAnsi="Georgia" w:cs="Georgia"/>
          <w:b/>
          <w:color w:val="000000"/>
          <w:sz w:val="20"/>
          <w:szCs w:val="20"/>
        </w:rPr>
      </w:pPr>
      <w:r w:rsidRPr="007F6B81">
        <w:rPr>
          <w:rFonts w:ascii="Georgia" w:eastAsiaTheme="minorHAnsi" w:hAnsi="Georgia" w:cs="Georgia"/>
          <w:b/>
          <w:color w:val="000000"/>
          <w:sz w:val="20"/>
          <w:szCs w:val="20"/>
        </w:rPr>
        <w:t>Option Rates Equity and Index</w:t>
      </w:r>
    </w:p>
    <w:p w14:paraId="60211D77" w14:textId="77777777" w:rsidR="001678E2" w:rsidRPr="0020002F" w:rsidRDefault="001678E2" w:rsidP="001678E2">
      <w:pPr>
        <w:pStyle w:val="BodyText"/>
        <w:ind w:left="120"/>
        <w:rPr>
          <w:rFonts w:ascii="Georgia" w:hAnsi="Georgia"/>
        </w:rPr>
      </w:pPr>
      <w:r w:rsidRPr="0020002F">
        <w:rPr>
          <w:rFonts w:ascii="Georgia" w:hAnsi="Georgia"/>
        </w:rPr>
        <w:t>Options compensation is received as direct compensation, as described below.</w:t>
      </w:r>
    </w:p>
    <w:p w14:paraId="717453C1" w14:textId="77777777" w:rsidR="001678E2" w:rsidRDefault="001678E2" w:rsidP="001678E2">
      <w:pPr>
        <w:widowControl/>
        <w:adjustRightInd w:val="0"/>
        <w:ind w:firstLine="120"/>
        <w:rPr>
          <w:rFonts w:ascii="Georgia" w:eastAsiaTheme="minorHAnsi" w:hAnsi="Georgia" w:cs="Georgia"/>
          <w:b/>
          <w:color w:val="000000"/>
          <w:sz w:val="20"/>
          <w:szCs w:val="20"/>
        </w:rPr>
      </w:pPr>
    </w:p>
    <w:p w14:paraId="16BDFC77" w14:textId="77777777" w:rsidR="001678E2" w:rsidRDefault="001678E2" w:rsidP="001678E2">
      <w:pPr>
        <w:widowControl/>
        <w:adjustRightInd w:val="0"/>
        <w:ind w:firstLine="120"/>
        <w:rPr>
          <w:rFonts w:ascii="Georgia" w:eastAsiaTheme="minorHAnsi" w:hAnsi="Georgia" w:cs="Georgia"/>
          <w:b/>
          <w:color w:val="000000"/>
          <w:sz w:val="20"/>
          <w:szCs w:val="20"/>
        </w:rPr>
      </w:pPr>
    </w:p>
    <w:p w14:paraId="118B23B2" w14:textId="77777777" w:rsidR="001678E2" w:rsidRDefault="001678E2" w:rsidP="001678E2">
      <w:pPr>
        <w:widowControl/>
        <w:adjustRightInd w:val="0"/>
        <w:ind w:firstLine="120"/>
        <w:rPr>
          <w:rFonts w:ascii="Georgia" w:eastAsiaTheme="minorHAnsi" w:hAnsi="Georgia" w:cs="Georgia"/>
          <w:b/>
          <w:color w:val="000000"/>
          <w:sz w:val="20"/>
          <w:szCs w:val="20"/>
        </w:rPr>
      </w:pPr>
    </w:p>
    <w:p w14:paraId="21E51B90" w14:textId="77777777" w:rsidR="001678E2" w:rsidRPr="00E703B1" w:rsidRDefault="001678E2" w:rsidP="001678E2">
      <w:pPr>
        <w:widowControl/>
        <w:adjustRightInd w:val="0"/>
        <w:ind w:firstLine="120"/>
        <w:rPr>
          <w:rFonts w:ascii="Georgia" w:eastAsiaTheme="minorHAnsi" w:hAnsi="Georgia" w:cs="Georgia"/>
          <w:b/>
          <w:color w:val="000000"/>
          <w:sz w:val="20"/>
          <w:szCs w:val="20"/>
        </w:rPr>
      </w:pPr>
      <w:r w:rsidRPr="00E703B1">
        <w:rPr>
          <w:rFonts w:ascii="Georgia" w:eastAsiaTheme="minorHAnsi" w:hAnsi="Georgia" w:cs="Georgia"/>
          <w:b/>
          <w:color w:val="000000"/>
          <w:sz w:val="20"/>
          <w:szCs w:val="20"/>
        </w:rPr>
        <w:t>Single Option Execution for Options $1.00 and Greater</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5"/>
        <w:gridCol w:w="3396"/>
      </w:tblGrid>
      <w:tr w:rsidR="001678E2" w:rsidRPr="00E703B1" w14:paraId="7EFD4B43" w14:textId="77777777" w:rsidTr="005546CB">
        <w:trPr>
          <w:trHeight w:hRule="exact" w:val="523"/>
        </w:trPr>
        <w:tc>
          <w:tcPr>
            <w:tcW w:w="3175" w:type="dxa"/>
          </w:tcPr>
          <w:p w14:paraId="6D5F2A1E" w14:textId="77777777" w:rsidR="001678E2" w:rsidRPr="00EA563D" w:rsidRDefault="001678E2" w:rsidP="005546CB">
            <w:pPr>
              <w:pStyle w:val="TableParagraph"/>
              <w:spacing w:before="0" w:line="227" w:lineRule="exact"/>
              <w:rPr>
                <w:rFonts w:ascii="Georgia" w:hAnsi="Georgia"/>
                <w:bCs/>
                <w:sz w:val="20"/>
                <w:szCs w:val="20"/>
              </w:rPr>
            </w:pPr>
            <w:r w:rsidRPr="00EA563D">
              <w:rPr>
                <w:rFonts w:ascii="Georgia" w:hAnsi="Georgia"/>
                <w:bCs/>
                <w:sz w:val="20"/>
                <w:szCs w:val="20"/>
              </w:rPr>
              <w:t>Any Option Transaction</w:t>
            </w:r>
          </w:p>
        </w:tc>
        <w:tc>
          <w:tcPr>
            <w:tcW w:w="3396" w:type="dxa"/>
          </w:tcPr>
          <w:p w14:paraId="76DFB3B0" w14:textId="77777777" w:rsidR="001678E2" w:rsidRPr="00EA563D" w:rsidRDefault="001678E2" w:rsidP="005546CB">
            <w:pPr>
              <w:pStyle w:val="TableParagraph"/>
              <w:spacing w:before="0" w:line="227" w:lineRule="exact"/>
              <w:rPr>
                <w:rFonts w:ascii="Georgia" w:hAnsi="Georgia"/>
                <w:bCs/>
                <w:sz w:val="20"/>
                <w:szCs w:val="20"/>
              </w:rPr>
            </w:pPr>
            <w:r w:rsidRPr="00EA563D">
              <w:rPr>
                <w:rFonts w:ascii="Georgia" w:hAnsi="Georgia"/>
                <w:bCs/>
                <w:sz w:val="20"/>
                <w:szCs w:val="20"/>
              </w:rPr>
              <w:t>% discount from First Clearing Standard Commission Schedule</w:t>
            </w:r>
          </w:p>
        </w:tc>
      </w:tr>
      <w:tr w:rsidR="001678E2" w:rsidRPr="00E703B1" w14:paraId="1FC51DA3" w14:textId="77777777" w:rsidTr="005546CB">
        <w:trPr>
          <w:trHeight w:hRule="exact" w:val="319"/>
        </w:trPr>
        <w:tc>
          <w:tcPr>
            <w:tcW w:w="3175" w:type="dxa"/>
          </w:tcPr>
          <w:p w14:paraId="563D51EF" w14:textId="77777777" w:rsidR="001678E2" w:rsidRPr="00E703B1" w:rsidRDefault="001678E2" w:rsidP="005546CB">
            <w:pPr>
              <w:pStyle w:val="TableParagraph"/>
              <w:rPr>
                <w:rFonts w:ascii="Georgia" w:hAnsi="Georgia"/>
                <w:sz w:val="20"/>
                <w:szCs w:val="20"/>
              </w:rPr>
            </w:pPr>
          </w:p>
        </w:tc>
        <w:tc>
          <w:tcPr>
            <w:tcW w:w="3396" w:type="dxa"/>
          </w:tcPr>
          <w:p w14:paraId="097D1CC3" w14:textId="77777777" w:rsidR="001678E2" w:rsidRPr="00E703B1" w:rsidRDefault="001678E2" w:rsidP="005546CB">
            <w:pPr>
              <w:pStyle w:val="TableParagraph"/>
              <w:rPr>
                <w:rFonts w:ascii="Georgia" w:hAnsi="Georgia"/>
                <w:sz w:val="20"/>
                <w:szCs w:val="20"/>
              </w:rPr>
            </w:pPr>
          </w:p>
        </w:tc>
      </w:tr>
    </w:tbl>
    <w:p w14:paraId="680EC3EA" w14:textId="77777777" w:rsidR="001678E2" w:rsidRPr="00E703B1" w:rsidRDefault="001678E2" w:rsidP="001678E2">
      <w:pPr>
        <w:pStyle w:val="BodyText"/>
        <w:spacing w:before="38"/>
        <w:ind w:left="207" w:right="4463"/>
        <w:jc w:val="center"/>
        <w:rPr>
          <w:rFonts w:ascii="Georgia" w:hAnsi="Georgia"/>
        </w:rPr>
      </w:pPr>
      <w:r w:rsidRPr="00E703B1">
        <w:rPr>
          <w:rFonts w:ascii="Georgia" w:hAnsi="Georgia"/>
        </w:rPr>
        <w:t xml:space="preserve">Minimum: </w:t>
      </w:r>
      <w:r>
        <w:rPr>
          <w:rFonts w:ascii="Georgia" w:hAnsi="Georgia"/>
        </w:rPr>
        <w:t>$25.00</w:t>
      </w:r>
    </w:p>
    <w:p w14:paraId="197ECFB6" w14:textId="77777777" w:rsidR="001678E2" w:rsidRPr="00E703B1" w:rsidRDefault="001678E2" w:rsidP="001678E2">
      <w:pPr>
        <w:pStyle w:val="BodyText"/>
        <w:spacing w:before="2"/>
        <w:rPr>
          <w:rFonts w:ascii="Georgia" w:hAnsi="Georgia"/>
        </w:rPr>
      </w:pPr>
    </w:p>
    <w:p w14:paraId="30F33B94" w14:textId="77777777" w:rsidR="001678E2" w:rsidRPr="00E703B1" w:rsidRDefault="001678E2" w:rsidP="001678E2">
      <w:pPr>
        <w:pStyle w:val="Heading2"/>
        <w:spacing w:before="93" w:after="43"/>
        <w:rPr>
          <w:rFonts w:ascii="Georgia" w:eastAsiaTheme="minorHAnsi" w:hAnsi="Georgia" w:cs="Georgia"/>
          <w:bCs w:val="0"/>
          <w:color w:val="000000"/>
        </w:rPr>
      </w:pPr>
      <w:r w:rsidRPr="00E703B1">
        <w:rPr>
          <w:rFonts w:ascii="Georgia" w:eastAsiaTheme="minorHAnsi" w:hAnsi="Georgia" w:cs="Georgia"/>
          <w:bCs w:val="0"/>
          <w:color w:val="000000"/>
        </w:rPr>
        <w:t>Multiple Options Executed on the Same Day for Options $1.00 and Greater</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1"/>
        <w:gridCol w:w="3420"/>
      </w:tblGrid>
      <w:tr w:rsidR="001678E2" w:rsidRPr="00E703B1" w14:paraId="3AAA8333" w14:textId="77777777" w:rsidTr="005546CB">
        <w:trPr>
          <w:trHeight w:hRule="exact" w:val="240"/>
        </w:trPr>
        <w:tc>
          <w:tcPr>
            <w:tcW w:w="3151" w:type="dxa"/>
          </w:tcPr>
          <w:p w14:paraId="7E417B06" w14:textId="77777777" w:rsidR="001678E2" w:rsidRPr="00E703B1" w:rsidRDefault="001678E2" w:rsidP="005546CB">
            <w:pPr>
              <w:pStyle w:val="TableParagraph"/>
              <w:spacing w:before="0" w:line="227" w:lineRule="exact"/>
              <w:rPr>
                <w:rFonts w:ascii="Georgia" w:hAnsi="Georgia"/>
                <w:b/>
                <w:sz w:val="20"/>
                <w:szCs w:val="20"/>
              </w:rPr>
            </w:pPr>
            <w:r w:rsidRPr="00E703B1">
              <w:rPr>
                <w:rFonts w:ascii="Georgia" w:hAnsi="Georgia"/>
                <w:b/>
                <w:sz w:val="20"/>
                <w:szCs w:val="20"/>
              </w:rPr>
              <w:t>Principal</w:t>
            </w:r>
          </w:p>
        </w:tc>
        <w:tc>
          <w:tcPr>
            <w:tcW w:w="3420" w:type="dxa"/>
          </w:tcPr>
          <w:p w14:paraId="3119825A" w14:textId="77777777" w:rsidR="001678E2" w:rsidRPr="00E703B1" w:rsidRDefault="001678E2" w:rsidP="005546CB">
            <w:pPr>
              <w:pStyle w:val="TableParagraph"/>
              <w:spacing w:before="0" w:line="227" w:lineRule="exact"/>
              <w:ind w:left="100"/>
              <w:rPr>
                <w:rFonts w:ascii="Georgia" w:hAnsi="Georgia"/>
                <w:b/>
                <w:sz w:val="20"/>
                <w:szCs w:val="20"/>
              </w:rPr>
            </w:pPr>
            <w:r w:rsidRPr="00E703B1">
              <w:rPr>
                <w:rFonts w:ascii="Georgia" w:hAnsi="Georgia"/>
                <w:b/>
                <w:sz w:val="20"/>
                <w:szCs w:val="20"/>
              </w:rPr>
              <w:t>Commission</w:t>
            </w:r>
          </w:p>
        </w:tc>
      </w:tr>
      <w:tr w:rsidR="001678E2" w:rsidRPr="00E703B1" w14:paraId="7E48522E" w14:textId="77777777" w:rsidTr="005546CB">
        <w:trPr>
          <w:trHeight w:hRule="exact" w:val="505"/>
        </w:trPr>
        <w:tc>
          <w:tcPr>
            <w:tcW w:w="3151" w:type="dxa"/>
          </w:tcPr>
          <w:p w14:paraId="3A780076" w14:textId="77777777" w:rsidR="001678E2" w:rsidRPr="00E703B1" w:rsidRDefault="001678E2" w:rsidP="005546CB">
            <w:pPr>
              <w:pStyle w:val="TableParagraph"/>
              <w:rPr>
                <w:rFonts w:ascii="Georgia" w:hAnsi="Georgia"/>
                <w:sz w:val="20"/>
                <w:szCs w:val="20"/>
              </w:rPr>
            </w:pPr>
            <w:r>
              <w:rPr>
                <w:rFonts w:ascii="Georgia" w:hAnsi="Georgia"/>
                <w:sz w:val="20"/>
                <w:szCs w:val="20"/>
              </w:rPr>
              <w:t>Any Multiple Option</w:t>
            </w:r>
          </w:p>
        </w:tc>
        <w:tc>
          <w:tcPr>
            <w:tcW w:w="3420" w:type="dxa"/>
          </w:tcPr>
          <w:p w14:paraId="28B68CE7" w14:textId="77777777" w:rsidR="001678E2" w:rsidRPr="00E703B1" w:rsidRDefault="001678E2" w:rsidP="005546CB">
            <w:pPr>
              <w:pStyle w:val="TableParagraph"/>
              <w:ind w:left="100"/>
              <w:rPr>
                <w:rFonts w:ascii="Georgia" w:hAnsi="Georgia"/>
                <w:sz w:val="20"/>
                <w:szCs w:val="20"/>
              </w:rPr>
            </w:pPr>
            <w:r>
              <w:rPr>
                <w:rFonts w:ascii="Georgia" w:hAnsi="Georgia"/>
                <w:sz w:val="20"/>
                <w:szCs w:val="20"/>
              </w:rPr>
              <w:t>% discount from First Clearing Standard Commission Schedule</w:t>
            </w:r>
          </w:p>
        </w:tc>
      </w:tr>
      <w:tr w:rsidR="001678E2" w:rsidRPr="00E703B1" w14:paraId="2AACBA01" w14:textId="77777777" w:rsidTr="005546CB">
        <w:trPr>
          <w:trHeight w:hRule="exact" w:val="319"/>
        </w:trPr>
        <w:tc>
          <w:tcPr>
            <w:tcW w:w="3151" w:type="dxa"/>
          </w:tcPr>
          <w:p w14:paraId="3785ADDD" w14:textId="77777777" w:rsidR="001678E2" w:rsidRPr="00E703B1" w:rsidRDefault="001678E2" w:rsidP="005546CB">
            <w:pPr>
              <w:pStyle w:val="TableParagraph"/>
              <w:rPr>
                <w:rFonts w:ascii="Georgia" w:hAnsi="Georgia"/>
                <w:sz w:val="20"/>
                <w:szCs w:val="20"/>
              </w:rPr>
            </w:pPr>
          </w:p>
        </w:tc>
        <w:tc>
          <w:tcPr>
            <w:tcW w:w="3420" w:type="dxa"/>
          </w:tcPr>
          <w:p w14:paraId="1E6BDA91" w14:textId="77777777" w:rsidR="001678E2" w:rsidRPr="00E703B1" w:rsidRDefault="001678E2" w:rsidP="005546CB">
            <w:pPr>
              <w:pStyle w:val="TableParagraph"/>
              <w:ind w:left="100"/>
              <w:rPr>
                <w:rFonts w:ascii="Georgia" w:hAnsi="Georgia"/>
                <w:sz w:val="20"/>
                <w:szCs w:val="20"/>
              </w:rPr>
            </w:pPr>
          </w:p>
        </w:tc>
      </w:tr>
    </w:tbl>
    <w:p w14:paraId="3F687D39" w14:textId="4B86C715" w:rsidR="001678E2" w:rsidRDefault="001678E2" w:rsidP="001678E2">
      <w:pPr>
        <w:pStyle w:val="BodyText"/>
        <w:spacing w:before="38"/>
        <w:ind w:left="227" w:right="3117"/>
        <w:rPr>
          <w:rFonts w:ascii="Georgia" w:hAnsi="Georgia"/>
        </w:rPr>
      </w:pPr>
      <w:r>
        <w:rPr>
          <w:rFonts w:ascii="Georgia" w:hAnsi="Georgia"/>
        </w:rPr>
        <w:tab/>
      </w:r>
      <w:r>
        <w:rPr>
          <w:rFonts w:ascii="Georgia" w:hAnsi="Georgia"/>
        </w:rPr>
        <w:tab/>
      </w:r>
      <w:r>
        <w:rPr>
          <w:rFonts w:ascii="Georgia" w:hAnsi="Georgia"/>
        </w:rPr>
        <w:tab/>
        <w:t>Minimum: $25.00</w:t>
      </w:r>
    </w:p>
    <w:p w14:paraId="0C904933" w14:textId="1654D178" w:rsidR="001678E2" w:rsidRDefault="001678E2" w:rsidP="001678E2">
      <w:pPr>
        <w:pStyle w:val="BodyText"/>
        <w:spacing w:before="38"/>
        <w:ind w:left="227" w:right="3117"/>
        <w:rPr>
          <w:rFonts w:ascii="Georgia" w:hAnsi="Georgia"/>
        </w:rPr>
      </w:pPr>
    </w:p>
    <w:p w14:paraId="4EF494F3" w14:textId="77777777" w:rsidR="001678E2" w:rsidRPr="00E703B1" w:rsidRDefault="001678E2" w:rsidP="001678E2">
      <w:pPr>
        <w:pStyle w:val="BodyText"/>
        <w:spacing w:before="38"/>
        <w:ind w:left="227" w:right="3117"/>
        <w:rPr>
          <w:rFonts w:ascii="Georgia" w:hAnsi="Georgia"/>
        </w:rPr>
      </w:pPr>
    </w:p>
    <w:p w14:paraId="2698CAC7" w14:textId="77777777" w:rsidR="001678E2" w:rsidRPr="00E703B1" w:rsidRDefault="001678E2" w:rsidP="001678E2">
      <w:pPr>
        <w:pStyle w:val="BodyText"/>
        <w:spacing w:before="5"/>
        <w:rPr>
          <w:rFonts w:ascii="Georgia" w:hAnsi="Georgia"/>
        </w:rPr>
      </w:pPr>
    </w:p>
    <w:tbl>
      <w:tblPr>
        <w:tblW w:w="15865" w:type="dxa"/>
        <w:tblInd w:w="-108" w:type="dxa"/>
        <w:tblBorders>
          <w:top w:val="nil"/>
          <w:left w:val="nil"/>
          <w:bottom w:val="nil"/>
          <w:right w:val="nil"/>
        </w:tblBorders>
        <w:tblLayout w:type="fixed"/>
        <w:tblLook w:val="0000" w:firstRow="0" w:lastRow="0" w:firstColumn="0" w:lastColumn="0" w:noHBand="0" w:noVBand="0"/>
      </w:tblPr>
      <w:tblGrid>
        <w:gridCol w:w="2297"/>
        <w:gridCol w:w="7441"/>
        <w:gridCol w:w="1532"/>
        <w:gridCol w:w="1531"/>
        <w:gridCol w:w="766"/>
        <w:gridCol w:w="2298"/>
      </w:tblGrid>
      <w:tr w:rsidR="001678E2" w:rsidRPr="008038FE" w14:paraId="488F6B47" w14:textId="77777777" w:rsidTr="005546CB">
        <w:trPr>
          <w:trHeight w:val="87"/>
        </w:trPr>
        <w:tc>
          <w:tcPr>
            <w:tcW w:w="9738" w:type="dxa"/>
            <w:gridSpan w:val="2"/>
          </w:tcPr>
          <w:p w14:paraId="4EA7EA51" w14:textId="77777777" w:rsidR="001678E2" w:rsidRPr="008B45C2" w:rsidRDefault="001678E2" w:rsidP="005546CB">
            <w:pPr>
              <w:widowControl/>
              <w:adjustRightInd w:val="0"/>
              <w:rPr>
                <w:rFonts w:ascii="Georgia" w:eastAsiaTheme="minorHAnsi" w:hAnsi="Georgia" w:cs="Georgia"/>
                <w:b/>
                <w:color w:val="000000"/>
                <w:sz w:val="20"/>
                <w:szCs w:val="20"/>
              </w:rPr>
            </w:pPr>
          </w:p>
          <w:p w14:paraId="1AD4FDD8" w14:textId="77777777" w:rsidR="001678E2" w:rsidRPr="008B45C2" w:rsidRDefault="001678E2" w:rsidP="005546CB">
            <w:pPr>
              <w:widowControl/>
              <w:adjustRightInd w:val="0"/>
              <w:rPr>
                <w:rFonts w:ascii="Georgia" w:eastAsiaTheme="minorHAnsi" w:hAnsi="Georgia" w:cs="Georgia"/>
                <w:b/>
                <w:color w:val="000000"/>
                <w:sz w:val="20"/>
                <w:szCs w:val="20"/>
              </w:rPr>
            </w:pPr>
            <w:r w:rsidRPr="008B45C2">
              <w:rPr>
                <w:rFonts w:ascii="Georgia" w:eastAsiaTheme="minorHAnsi" w:hAnsi="Georgia" w:cs="Georgia"/>
                <w:b/>
                <w:color w:val="000000"/>
                <w:sz w:val="20"/>
                <w:szCs w:val="20"/>
              </w:rPr>
              <w:lastRenderedPageBreak/>
              <w:t xml:space="preserve">Debt Securities </w:t>
            </w:r>
          </w:p>
          <w:p w14:paraId="781B07D4" w14:textId="77777777" w:rsidR="001678E2" w:rsidRPr="008B45C2" w:rsidRDefault="001678E2" w:rsidP="005546CB">
            <w:pPr>
              <w:widowControl/>
              <w:adjustRightInd w:val="0"/>
              <w:rPr>
                <w:rFonts w:ascii="Georgia" w:eastAsiaTheme="minorHAnsi" w:hAnsi="Georgia" w:cs="Georgia"/>
                <w:color w:val="000000"/>
                <w:sz w:val="20"/>
                <w:szCs w:val="20"/>
              </w:rPr>
            </w:pPr>
            <w:r w:rsidRPr="008B45C2">
              <w:rPr>
                <w:rFonts w:ascii="Georgia" w:eastAsiaTheme="minorHAnsi" w:hAnsi="Georgia" w:cs="Georgia"/>
                <w:color w:val="000000"/>
                <w:sz w:val="20"/>
                <w:szCs w:val="20"/>
              </w:rPr>
              <w:t>For debt securities, including preferred securities and CDs, we may apply a charge (i.e., markup) of up to [</w:t>
            </w:r>
            <w:r>
              <w:rPr>
                <w:rFonts w:ascii="Georgia" w:eastAsiaTheme="minorHAnsi" w:hAnsi="Georgia" w:cs="Georgia"/>
                <w:color w:val="000000"/>
                <w:sz w:val="20"/>
                <w:szCs w:val="20"/>
              </w:rPr>
              <w:t>3%</w:t>
            </w:r>
            <w:r w:rsidRPr="008B45C2">
              <w:rPr>
                <w:rFonts w:ascii="Georgia" w:eastAsiaTheme="minorHAnsi" w:hAnsi="Georgia" w:cs="Georgia"/>
                <w:color w:val="000000"/>
                <w:sz w:val="20"/>
                <w:szCs w:val="20"/>
              </w:rPr>
              <w:t xml:space="preserve">] of the amount of your secondary market transaction. Additionally, we may incur gains (or losses) on positions we hold in inventory in response to market movements or other events that impact the value of the securities we own. </w:t>
            </w:r>
            <w:r>
              <w:rPr>
                <w:rFonts w:ascii="Georgia" w:eastAsiaTheme="minorHAnsi" w:hAnsi="Georgia" w:cs="Georgia"/>
                <w:color w:val="000000"/>
                <w:sz w:val="20"/>
                <w:szCs w:val="20"/>
              </w:rPr>
              <w:t>However, in normal practice, in most cases the markup will be significantly lower than the allowable markup permitted by regulations.  Markup information is disclosed on your client confirmation</w:t>
            </w:r>
          </w:p>
          <w:p w14:paraId="40085158" w14:textId="77777777" w:rsidR="001678E2" w:rsidRPr="008B45C2" w:rsidRDefault="001678E2" w:rsidP="005546CB">
            <w:pPr>
              <w:widowControl/>
              <w:adjustRightInd w:val="0"/>
              <w:rPr>
                <w:rFonts w:ascii="Georgia" w:eastAsiaTheme="minorHAnsi" w:hAnsi="Georgia" w:cs="Georgia"/>
                <w:b/>
                <w:bCs/>
                <w:color w:val="000000"/>
                <w:sz w:val="28"/>
                <w:szCs w:val="28"/>
              </w:rPr>
            </w:pPr>
          </w:p>
          <w:p w14:paraId="1A25643A" w14:textId="77777777" w:rsidR="001678E2" w:rsidRPr="008B45C2" w:rsidRDefault="001678E2" w:rsidP="005546CB">
            <w:pPr>
              <w:widowControl/>
              <w:adjustRightInd w:val="0"/>
              <w:rPr>
                <w:rFonts w:ascii="Georgia" w:eastAsiaTheme="minorHAnsi" w:hAnsi="Georgia" w:cs="Georgia"/>
                <w:b/>
                <w:color w:val="000000"/>
                <w:sz w:val="20"/>
                <w:szCs w:val="20"/>
              </w:rPr>
            </w:pPr>
            <w:r w:rsidRPr="008B45C2">
              <w:rPr>
                <w:rFonts w:ascii="Georgia" w:eastAsiaTheme="minorHAnsi" w:hAnsi="Georgia" w:cs="Georgia"/>
                <w:b/>
                <w:color w:val="000000"/>
                <w:sz w:val="20"/>
                <w:szCs w:val="20"/>
              </w:rPr>
              <w:t xml:space="preserve">Mutual Funds </w:t>
            </w:r>
          </w:p>
          <w:p w14:paraId="2782D4F2" w14:textId="77777777" w:rsidR="001678E2" w:rsidRPr="008B45C2" w:rsidRDefault="001678E2" w:rsidP="005546CB">
            <w:pPr>
              <w:widowControl/>
              <w:adjustRightInd w:val="0"/>
              <w:rPr>
                <w:rFonts w:ascii="Georgia" w:eastAsiaTheme="minorHAnsi" w:hAnsi="Georgia" w:cs="Georgia"/>
                <w:color w:val="000000"/>
                <w:sz w:val="20"/>
                <w:szCs w:val="20"/>
              </w:rPr>
            </w:pPr>
            <w:r w:rsidRPr="008B45C2">
              <w:rPr>
                <w:rFonts w:ascii="Georgia" w:eastAsiaTheme="minorHAnsi" w:hAnsi="Georgia" w:cs="Georgia"/>
                <w:color w:val="000000"/>
                <w:sz w:val="20"/>
                <w:szCs w:val="20"/>
              </w:rPr>
              <w:t xml:space="preserve">We currently offer thousands of mutual funds varying in share class structure and investment style. If you invest in mutual funds, we may receive direct and indirect compensation in connection with such mutual fund investments, as described below. </w:t>
            </w:r>
          </w:p>
          <w:p w14:paraId="61301384" w14:textId="77777777" w:rsidR="001678E2" w:rsidRPr="008B45C2" w:rsidRDefault="001678E2" w:rsidP="005546CB">
            <w:pPr>
              <w:widowControl/>
              <w:adjustRightInd w:val="0"/>
              <w:rPr>
                <w:rFonts w:ascii="Georgia" w:eastAsiaTheme="minorHAnsi" w:hAnsi="Georgia" w:cs="Georgia"/>
                <w:b/>
                <w:bCs/>
                <w:color w:val="000000"/>
                <w:sz w:val="23"/>
                <w:szCs w:val="23"/>
              </w:rPr>
            </w:pPr>
          </w:p>
          <w:p w14:paraId="0C69935C" w14:textId="77777777" w:rsidR="001678E2" w:rsidRPr="008B45C2" w:rsidRDefault="001678E2" w:rsidP="005546CB">
            <w:pPr>
              <w:widowControl/>
              <w:adjustRightInd w:val="0"/>
              <w:rPr>
                <w:rFonts w:ascii="Georgia" w:eastAsiaTheme="minorHAnsi" w:hAnsi="Georgia" w:cs="Georgia"/>
                <w:color w:val="000000"/>
                <w:sz w:val="18"/>
                <w:szCs w:val="18"/>
              </w:rPr>
            </w:pPr>
            <w:r w:rsidRPr="008B45C2">
              <w:rPr>
                <w:rFonts w:ascii="Georgia" w:eastAsiaTheme="minorHAnsi" w:hAnsi="Georgia" w:cs="Georgia"/>
                <w:b/>
                <w:bCs/>
                <w:color w:val="000000"/>
                <w:sz w:val="18"/>
                <w:szCs w:val="18"/>
              </w:rPr>
              <w:t xml:space="preserve">12b-1/Shareholder Service Fees </w:t>
            </w:r>
          </w:p>
          <w:p w14:paraId="4946F32F" w14:textId="77777777" w:rsidR="001678E2" w:rsidRPr="008B45C2" w:rsidRDefault="001678E2" w:rsidP="005546CB">
            <w:pPr>
              <w:widowControl/>
              <w:adjustRightInd w:val="0"/>
              <w:rPr>
                <w:rFonts w:ascii="Georgia" w:eastAsiaTheme="minorHAnsi" w:hAnsi="Georgia" w:cs="Georgia"/>
                <w:sz w:val="20"/>
                <w:szCs w:val="20"/>
              </w:rPr>
            </w:pPr>
            <w:r w:rsidRPr="008B45C2">
              <w:rPr>
                <w:rFonts w:ascii="Georgia" w:eastAsiaTheme="minorHAnsi" w:hAnsi="Georgia" w:cs="Georgia"/>
                <w:color w:val="000000"/>
                <w:sz w:val="20"/>
                <w:szCs w:val="20"/>
              </w:rPr>
              <w:t xml:space="preserve">Annual 12b-1 fees, also known as trails, are paid by the fund and paid to us out of fund assets under a distribution and servicing arrangement to cover distribution expenses and sometimes shareholder service expenses that we may provide on the fund’s behalf. Shareholder servicing fees are paid to respond to investor inquiries and provide investors with information about their investments. These fees are asset-based fees charged by the fund family. These fees range from 0.00% to 1.00%, but </w:t>
            </w:r>
            <w:proofErr w:type="gramStart"/>
            <w:r w:rsidRPr="008B45C2">
              <w:rPr>
                <w:rFonts w:ascii="Georgia" w:eastAsiaTheme="minorHAnsi" w:hAnsi="Georgia" w:cs="Georgia"/>
                <w:color w:val="000000"/>
                <w:sz w:val="20"/>
                <w:szCs w:val="20"/>
              </w:rPr>
              <w:t>the majority of</w:t>
            </w:r>
            <w:proofErr w:type="gramEnd"/>
            <w:r w:rsidRPr="008B45C2">
              <w:rPr>
                <w:rFonts w:ascii="Georgia" w:eastAsiaTheme="minorHAnsi" w:hAnsi="Georgia" w:cs="Georgia"/>
                <w:color w:val="000000"/>
                <w:sz w:val="20"/>
                <w:szCs w:val="20"/>
              </w:rPr>
              <w:t xml:space="preserve"> these </w:t>
            </w:r>
            <w:r w:rsidRPr="008B45C2">
              <w:rPr>
                <w:rFonts w:ascii="Georgia" w:eastAsiaTheme="minorHAnsi" w:hAnsi="Georgia" w:cs="Georgia"/>
                <w:sz w:val="20"/>
                <w:szCs w:val="20"/>
              </w:rPr>
              <w:t xml:space="preserve">fees are below 0.85%. These fees may be passed on to us and may in turn be passed on to your Financial advisor as a commission. </w:t>
            </w:r>
          </w:p>
          <w:p w14:paraId="41EC25D8" w14:textId="77777777" w:rsidR="001678E2" w:rsidRPr="008B45C2" w:rsidRDefault="001678E2" w:rsidP="005546CB">
            <w:pPr>
              <w:widowControl/>
              <w:adjustRightInd w:val="0"/>
              <w:rPr>
                <w:rFonts w:ascii="Georgia" w:eastAsiaTheme="minorHAnsi" w:hAnsi="Georgia" w:cs="Georgia"/>
                <w:sz w:val="20"/>
                <w:szCs w:val="20"/>
              </w:rPr>
            </w:pPr>
          </w:p>
          <w:p w14:paraId="1B74AC28" w14:textId="77777777" w:rsidR="001678E2" w:rsidRPr="008B45C2" w:rsidRDefault="001678E2" w:rsidP="005546CB">
            <w:pPr>
              <w:widowControl/>
              <w:adjustRightInd w:val="0"/>
              <w:rPr>
                <w:rFonts w:ascii="Georgia" w:eastAsiaTheme="minorHAnsi" w:hAnsi="Georgia" w:cs="Georgia"/>
                <w:sz w:val="18"/>
                <w:szCs w:val="18"/>
              </w:rPr>
            </w:pPr>
            <w:r w:rsidRPr="008B45C2">
              <w:rPr>
                <w:rFonts w:ascii="Georgia" w:eastAsiaTheme="minorHAnsi" w:hAnsi="Georgia" w:cs="Georgia"/>
                <w:b/>
                <w:bCs/>
                <w:sz w:val="18"/>
                <w:szCs w:val="18"/>
              </w:rPr>
              <w:t xml:space="preserve">Front-end Sales Charge Fees/Contingent Deferred Sales Charges (CDSC) </w:t>
            </w:r>
          </w:p>
          <w:p w14:paraId="65FD4874" w14:textId="77777777" w:rsidR="001678E2" w:rsidRPr="008B45C2" w:rsidRDefault="001678E2" w:rsidP="005546CB">
            <w:pPr>
              <w:widowControl/>
              <w:adjustRightInd w:val="0"/>
              <w:rPr>
                <w:rFonts w:ascii="Georgia" w:eastAsiaTheme="minorHAnsi" w:hAnsi="Georgia" w:cs="Georgia"/>
                <w:sz w:val="20"/>
                <w:szCs w:val="20"/>
              </w:rPr>
            </w:pPr>
            <w:r w:rsidRPr="008B45C2">
              <w:rPr>
                <w:rFonts w:ascii="Georgia" w:eastAsiaTheme="minorHAnsi" w:hAnsi="Georgia" w:cs="Georgia"/>
                <w:sz w:val="20"/>
                <w:szCs w:val="20"/>
              </w:rPr>
              <w:t xml:space="preserve">Front-end sales charge fees may be charged and paid to us, including your Financial advisor, when you purchase a fund. The front-end sales charge is deducted from the initial investment on certain share classes. This charge normally ranges from 0.00% to 5.75%. Some purchases may qualify for a reduced front-end sales charge due to breakpoint discounts based on the amount of transaction and rights of accumulation. In addition, some purchases may qualify for a sales charge waiver based on the type of account, and/or certain qualifications within the account. You should contact your Financial advisor if you believe you are eligible for sales charge waivers. </w:t>
            </w:r>
          </w:p>
          <w:p w14:paraId="40D186BF" w14:textId="77777777" w:rsidR="001678E2" w:rsidRPr="008B45C2" w:rsidRDefault="001678E2" w:rsidP="005546CB">
            <w:pPr>
              <w:widowControl/>
              <w:adjustRightInd w:val="0"/>
              <w:rPr>
                <w:rFonts w:ascii="Georgia" w:eastAsiaTheme="minorHAnsi" w:hAnsi="Georgia" w:cs="Georgia"/>
                <w:sz w:val="20"/>
                <w:szCs w:val="20"/>
              </w:rPr>
            </w:pPr>
          </w:p>
          <w:p w14:paraId="412B29D9" w14:textId="77777777" w:rsidR="001678E2" w:rsidRPr="008B45C2" w:rsidRDefault="001678E2" w:rsidP="005546CB">
            <w:pPr>
              <w:widowControl/>
              <w:adjustRightInd w:val="0"/>
              <w:rPr>
                <w:rFonts w:ascii="Georgia" w:eastAsiaTheme="minorHAnsi" w:hAnsi="Georgia" w:cs="Georgia"/>
                <w:sz w:val="20"/>
                <w:szCs w:val="20"/>
              </w:rPr>
            </w:pPr>
            <w:r w:rsidRPr="008B45C2">
              <w:rPr>
                <w:rFonts w:ascii="Georgia" w:eastAsiaTheme="minorHAnsi" w:hAnsi="Georgia" w:cs="Georgia"/>
                <w:sz w:val="20"/>
                <w:szCs w:val="20"/>
              </w:rPr>
              <w:t>CDSC is a charge you pay upon withdrawal of money from a fund prior to the end of the fund’s CDSC period. CDSC charges range from 0.00% to 5.50%. CDSC periods can range from zero to seven years. This charge typically exists only on share classes that do not have a front-end sales charge. It is sometimes referred to as the back-end load. CDSCs are not charged when you purchase a fund. The fee charged will depend on the share class purchased by the investor. A CDSC is not passed on to your Financial advisor.</w:t>
            </w:r>
            <w:r>
              <w:rPr>
                <w:rFonts w:ascii="Georgia" w:eastAsiaTheme="minorHAnsi" w:hAnsi="Georgia" w:cs="Georgia"/>
                <w:sz w:val="20"/>
                <w:szCs w:val="20"/>
              </w:rPr>
              <w:t xml:space="preserve"> </w:t>
            </w:r>
            <w:r w:rsidRPr="008B45C2">
              <w:rPr>
                <w:rFonts w:ascii="Georgia" w:eastAsiaTheme="minorHAnsi" w:hAnsi="Georgia" w:cs="Georgia"/>
                <w:sz w:val="20"/>
                <w:szCs w:val="20"/>
              </w:rPr>
              <w:t xml:space="preserve">You can find a description of the amount and payment frequency of all fees and expenses charged and paid by the fund in the fund’s prospectus. Fees and expenses disclosed in the fund’s prospectus are charged against the investment values of the fund. Please note that 12b-1s and similar fees or compensation received in connection with our affiliated funds are not received, or are rebated, on ERISA assets held in Advisory Program accounts. </w:t>
            </w:r>
          </w:p>
          <w:p w14:paraId="2FF14938" w14:textId="77777777" w:rsidR="001678E2" w:rsidRPr="008B45C2" w:rsidRDefault="001678E2" w:rsidP="005546CB">
            <w:pPr>
              <w:widowControl/>
              <w:adjustRightInd w:val="0"/>
              <w:rPr>
                <w:rFonts w:ascii="Georgia" w:eastAsiaTheme="minorHAnsi" w:hAnsi="Georgia" w:cs="Georgia"/>
                <w:b/>
                <w:bCs/>
                <w:sz w:val="23"/>
                <w:szCs w:val="23"/>
              </w:rPr>
            </w:pPr>
          </w:p>
          <w:p w14:paraId="5692A596" w14:textId="77777777" w:rsidR="001678E2" w:rsidRDefault="001678E2" w:rsidP="005546CB">
            <w:pPr>
              <w:widowControl/>
              <w:adjustRightInd w:val="0"/>
              <w:rPr>
                <w:rFonts w:ascii="Georgia" w:eastAsiaTheme="minorHAnsi" w:hAnsi="Georgia" w:cs="Georgia"/>
                <w:sz w:val="18"/>
                <w:szCs w:val="18"/>
              </w:rPr>
            </w:pPr>
            <w:r w:rsidRPr="008B45C2">
              <w:rPr>
                <w:rFonts w:ascii="Georgia" w:eastAsiaTheme="minorHAnsi" w:hAnsi="Georgia" w:cs="Georgia"/>
                <w:b/>
                <w:bCs/>
                <w:sz w:val="18"/>
                <w:szCs w:val="18"/>
              </w:rPr>
              <w:t xml:space="preserve">Revenue Sharing </w:t>
            </w:r>
          </w:p>
          <w:p w14:paraId="52E746D4" w14:textId="77777777" w:rsidR="001678E2" w:rsidRPr="00FF1185" w:rsidRDefault="001678E2" w:rsidP="005546CB">
            <w:pPr>
              <w:widowControl/>
              <w:adjustRightInd w:val="0"/>
              <w:rPr>
                <w:rFonts w:ascii="Georgia" w:eastAsiaTheme="minorHAnsi" w:hAnsi="Georgia" w:cs="Georgia"/>
                <w:sz w:val="18"/>
                <w:szCs w:val="18"/>
              </w:rPr>
            </w:pPr>
            <w:r>
              <w:rPr>
                <w:rFonts w:ascii="Georgia" w:eastAsiaTheme="minorHAnsi" w:hAnsi="Georgia" w:cs="Georgia"/>
                <w:sz w:val="18"/>
                <w:szCs w:val="18"/>
              </w:rPr>
              <w:t xml:space="preserve">World has a revenue sharing arrangement with its clearing agent, First Clearing LLC.  Wells Fargo Bank, the parent company of First Clearing LLC. is the bank of record for all FDIC deposits.  Depending on the interest rate environment, First Clearing LLC through its parent shares a designated portion of interest on all FDIC balances.  Through its extremely large network, in compliance with Federal Reserve Board regulations, Wells Fargo </w:t>
            </w:r>
            <w:proofErr w:type="gramStart"/>
            <w:r>
              <w:rPr>
                <w:rFonts w:ascii="Georgia" w:eastAsiaTheme="minorHAnsi" w:hAnsi="Georgia" w:cs="Georgia"/>
                <w:sz w:val="18"/>
                <w:szCs w:val="18"/>
              </w:rPr>
              <w:t>is able to</w:t>
            </w:r>
            <w:proofErr w:type="gramEnd"/>
            <w:r>
              <w:rPr>
                <w:rFonts w:ascii="Georgia" w:eastAsiaTheme="minorHAnsi" w:hAnsi="Georgia" w:cs="Georgia"/>
                <w:sz w:val="18"/>
                <w:szCs w:val="18"/>
              </w:rPr>
              <w:t xml:space="preserve"> offer FDIC insurance on each account with a FDIC balance up to $750,000 per account. Normal FDIC insurance at a standard bank is only $250,000 per account.</w:t>
            </w:r>
          </w:p>
          <w:p w14:paraId="0D951CF8" w14:textId="77777777" w:rsidR="001678E2" w:rsidRPr="008B45C2" w:rsidRDefault="001678E2" w:rsidP="005546CB">
            <w:pPr>
              <w:widowControl/>
              <w:adjustRightInd w:val="0"/>
              <w:rPr>
                <w:rFonts w:ascii="Georgia" w:eastAsiaTheme="minorHAnsi" w:hAnsi="Georgia" w:cs="Georgia"/>
                <w:b/>
                <w:bCs/>
                <w:sz w:val="18"/>
                <w:szCs w:val="18"/>
              </w:rPr>
            </w:pPr>
          </w:p>
          <w:p w14:paraId="2C85036D" w14:textId="77777777" w:rsidR="001678E2" w:rsidRPr="008B45C2" w:rsidRDefault="001678E2" w:rsidP="005546CB">
            <w:pPr>
              <w:widowControl/>
              <w:adjustRightInd w:val="0"/>
              <w:rPr>
                <w:rFonts w:ascii="Georgia" w:eastAsiaTheme="minorHAnsi" w:hAnsi="Georgia" w:cs="Georgia"/>
                <w:b/>
                <w:bCs/>
                <w:sz w:val="18"/>
                <w:szCs w:val="18"/>
              </w:rPr>
            </w:pPr>
          </w:p>
          <w:p w14:paraId="05E14252" w14:textId="77777777" w:rsidR="001678E2" w:rsidRPr="008B45C2" w:rsidRDefault="001678E2" w:rsidP="005546CB">
            <w:pPr>
              <w:widowControl/>
              <w:adjustRightInd w:val="0"/>
              <w:rPr>
                <w:rFonts w:ascii="Georgia" w:eastAsiaTheme="minorHAnsi" w:hAnsi="Georgia" w:cs="Georgia"/>
                <w:sz w:val="18"/>
                <w:szCs w:val="18"/>
              </w:rPr>
            </w:pPr>
            <w:r w:rsidRPr="008B45C2">
              <w:rPr>
                <w:rFonts w:ascii="Georgia" w:eastAsiaTheme="minorHAnsi" w:hAnsi="Georgia" w:cs="Georgia"/>
                <w:b/>
                <w:bCs/>
                <w:sz w:val="18"/>
                <w:szCs w:val="18"/>
              </w:rPr>
              <w:t xml:space="preserve">Data Agreement </w:t>
            </w:r>
          </w:p>
          <w:p w14:paraId="2DB9EF79" w14:textId="77777777" w:rsidR="001678E2" w:rsidRPr="008B45C2" w:rsidRDefault="001678E2" w:rsidP="005546CB">
            <w:pPr>
              <w:widowControl/>
              <w:adjustRightInd w:val="0"/>
              <w:rPr>
                <w:rFonts w:ascii="Georgia" w:eastAsiaTheme="minorHAnsi" w:hAnsi="Georgia" w:cs="Georgia"/>
                <w:sz w:val="20"/>
                <w:szCs w:val="20"/>
              </w:rPr>
            </w:pPr>
            <w:r>
              <w:rPr>
                <w:rFonts w:ascii="Georgia" w:eastAsiaTheme="minorHAnsi" w:hAnsi="Georgia" w:cs="Georgia"/>
                <w:sz w:val="20"/>
                <w:szCs w:val="20"/>
              </w:rPr>
              <w:t>World has no data agreements with any mutual fund company.</w:t>
            </w:r>
          </w:p>
          <w:p w14:paraId="5124CAD3" w14:textId="77777777" w:rsidR="001678E2" w:rsidRPr="008B45C2" w:rsidRDefault="001678E2" w:rsidP="005546CB">
            <w:pPr>
              <w:widowControl/>
              <w:adjustRightInd w:val="0"/>
              <w:rPr>
                <w:rFonts w:ascii="Georgia" w:eastAsiaTheme="minorHAnsi" w:hAnsi="Georgia" w:cstheme="minorBidi"/>
                <w:sz w:val="24"/>
                <w:szCs w:val="24"/>
              </w:rPr>
            </w:pPr>
          </w:p>
          <w:p w14:paraId="0B85E0A4" w14:textId="77777777" w:rsidR="001678E2" w:rsidRPr="008B45C2" w:rsidRDefault="001678E2" w:rsidP="005546CB">
            <w:pPr>
              <w:pageBreakBefore/>
              <w:widowControl/>
              <w:adjustRightInd w:val="0"/>
              <w:rPr>
                <w:rFonts w:ascii="Georgia" w:eastAsiaTheme="minorHAnsi" w:hAnsi="Georgia" w:cstheme="minorBidi"/>
                <w:sz w:val="20"/>
                <w:szCs w:val="20"/>
              </w:rPr>
            </w:pPr>
            <w:r w:rsidRPr="008B45C2">
              <w:rPr>
                <w:rFonts w:ascii="Georgia" w:eastAsiaTheme="minorHAnsi" w:hAnsi="Georgia" w:cstheme="minorBidi"/>
                <w:b/>
                <w:bCs/>
                <w:sz w:val="20"/>
                <w:szCs w:val="20"/>
              </w:rPr>
              <w:t xml:space="preserve">Annuities </w:t>
            </w:r>
          </w:p>
          <w:p w14:paraId="2A079AD8" w14:textId="77777777" w:rsidR="001678E2" w:rsidRPr="008B45C2" w:rsidRDefault="001678E2" w:rsidP="005546CB">
            <w:pPr>
              <w:widowControl/>
              <w:adjustRightInd w:val="0"/>
              <w:rPr>
                <w:rFonts w:ascii="Georgia" w:eastAsiaTheme="minorHAnsi" w:hAnsi="Georgia" w:cs="Georgia"/>
                <w:sz w:val="20"/>
                <w:szCs w:val="20"/>
              </w:rPr>
            </w:pPr>
            <w:r>
              <w:rPr>
                <w:rFonts w:ascii="Georgia" w:eastAsiaTheme="minorHAnsi" w:hAnsi="Georgia" w:cs="Georgia"/>
                <w:sz w:val="20"/>
                <w:szCs w:val="20"/>
              </w:rPr>
              <w:t>World does not solicit annuities as part of its normal business practices.</w:t>
            </w:r>
          </w:p>
          <w:p w14:paraId="00CC0AD8" w14:textId="77777777" w:rsidR="001678E2" w:rsidRPr="008B45C2" w:rsidRDefault="001678E2" w:rsidP="005546CB">
            <w:pPr>
              <w:widowControl/>
              <w:adjustRightInd w:val="0"/>
              <w:rPr>
                <w:rFonts w:ascii="Georgia" w:eastAsiaTheme="minorHAnsi" w:hAnsi="Georgia" w:cs="Georgia"/>
                <w:b/>
                <w:bCs/>
                <w:sz w:val="28"/>
                <w:szCs w:val="28"/>
              </w:rPr>
            </w:pPr>
          </w:p>
          <w:p w14:paraId="2EC8A0B0" w14:textId="77777777" w:rsidR="001678E2" w:rsidRPr="008B45C2" w:rsidRDefault="001678E2" w:rsidP="005546CB">
            <w:pPr>
              <w:widowControl/>
              <w:adjustRightInd w:val="0"/>
              <w:rPr>
                <w:rFonts w:ascii="Georgia" w:eastAsiaTheme="minorHAnsi" w:hAnsi="Georgia" w:cs="Georgia"/>
                <w:bCs/>
                <w:sz w:val="20"/>
                <w:szCs w:val="20"/>
              </w:rPr>
            </w:pPr>
            <w:r w:rsidRPr="008B45C2">
              <w:rPr>
                <w:rFonts w:ascii="Georgia" w:eastAsiaTheme="minorHAnsi" w:hAnsi="Georgia" w:cs="Georgia"/>
                <w:b/>
                <w:bCs/>
                <w:sz w:val="20"/>
                <w:szCs w:val="20"/>
              </w:rPr>
              <w:t xml:space="preserve">Market-Linked Investments Information </w:t>
            </w:r>
          </w:p>
          <w:p w14:paraId="61C95DD2" w14:textId="77777777" w:rsidR="001678E2" w:rsidRPr="008B45C2" w:rsidRDefault="001678E2" w:rsidP="005546CB">
            <w:pPr>
              <w:widowControl/>
              <w:adjustRightInd w:val="0"/>
              <w:rPr>
                <w:rFonts w:ascii="Georgia" w:eastAsiaTheme="minorHAnsi" w:hAnsi="Georgia" w:cs="Georgia"/>
                <w:bCs/>
                <w:sz w:val="20"/>
                <w:szCs w:val="20"/>
              </w:rPr>
            </w:pPr>
          </w:p>
          <w:p w14:paraId="05213D7D" w14:textId="77777777" w:rsidR="001678E2" w:rsidRPr="007E61F2" w:rsidRDefault="001678E2" w:rsidP="005546CB">
            <w:pPr>
              <w:widowControl/>
              <w:adjustRightInd w:val="0"/>
              <w:rPr>
                <w:rFonts w:ascii="Georgia" w:eastAsiaTheme="minorHAnsi" w:hAnsi="Georgia" w:cs="Georgia"/>
                <w:sz w:val="20"/>
                <w:szCs w:val="20"/>
              </w:rPr>
            </w:pPr>
            <w:r>
              <w:rPr>
                <w:rFonts w:ascii="Georgia" w:eastAsiaTheme="minorHAnsi" w:hAnsi="Georgia" w:cs="Georgia"/>
                <w:sz w:val="20"/>
                <w:szCs w:val="20"/>
              </w:rPr>
              <w:t>World does not engage in any market-linked investments.</w:t>
            </w:r>
          </w:p>
          <w:p w14:paraId="67408753" w14:textId="77777777" w:rsidR="001678E2" w:rsidRPr="008B45C2" w:rsidRDefault="001678E2" w:rsidP="005546CB">
            <w:pPr>
              <w:pageBreakBefore/>
              <w:widowControl/>
              <w:adjustRightInd w:val="0"/>
              <w:rPr>
                <w:rFonts w:ascii="Georgia" w:eastAsiaTheme="minorHAnsi" w:hAnsi="Georgia" w:cs="Georgia"/>
                <w:sz w:val="20"/>
                <w:szCs w:val="20"/>
              </w:rPr>
            </w:pPr>
          </w:p>
          <w:p w14:paraId="31946DB8" w14:textId="77777777" w:rsidR="001678E2" w:rsidRPr="008B45C2" w:rsidRDefault="001678E2" w:rsidP="005546CB">
            <w:pPr>
              <w:widowControl/>
              <w:adjustRightInd w:val="0"/>
              <w:rPr>
                <w:rFonts w:ascii="Georgia" w:eastAsiaTheme="minorHAnsi" w:hAnsi="Georgia" w:cs="Georgia"/>
                <w:sz w:val="20"/>
                <w:szCs w:val="20"/>
              </w:rPr>
            </w:pPr>
            <w:r w:rsidRPr="008B45C2">
              <w:rPr>
                <w:rFonts w:ascii="Georgia" w:eastAsiaTheme="minorHAnsi" w:hAnsi="Georgia" w:cs="Georgia"/>
                <w:b/>
                <w:bCs/>
                <w:sz w:val="20"/>
                <w:szCs w:val="20"/>
              </w:rPr>
              <w:t xml:space="preserve">Alternative Investments Information </w:t>
            </w:r>
          </w:p>
          <w:p w14:paraId="2641FB45" w14:textId="77777777" w:rsidR="001678E2" w:rsidRDefault="001678E2" w:rsidP="005546CB">
            <w:pPr>
              <w:widowControl/>
              <w:adjustRightInd w:val="0"/>
              <w:rPr>
                <w:rFonts w:ascii="Georgia" w:eastAsiaTheme="minorHAnsi" w:hAnsi="Georgia" w:cs="Georgia"/>
                <w:sz w:val="20"/>
                <w:szCs w:val="20"/>
              </w:rPr>
            </w:pPr>
          </w:p>
          <w:p w14:paraId="4C514E39" w14:textId="77777777" w:rsidR="001678E2" w:rsidRPr="008B45C2" w:rsidRDefault="001678E2" w:rsidP="005546CB">
            <w:pPr>
              <w:widowControl/>
              <w:adjustRightInd w:val="0"/>
              <w:rPr>
                <w:rFonts w:ascii="Georgia" w:eastAsiaTheme="minorHAnsi" w:hAnsi="Georgia" w:cs="Georgia"/>
                <w:color w:val="000000"/>
                <w:sz w:val="18"/>
                <w:szCs w:val="18"/>
              </w:rPr>
            </w:pPr>
            <w:r>
              <w:rPr>
                <w:rFonts w:ascii="Georgia" w:eastAsiaTheme="minorHAnsi" w:hAnsi="Georgia" w:cs="Georgia"/>
                <w:sz w:val="20"/>
                <w:szCs w:val="20"/>
              </w:rPr>
              <w:t xml:space="preserve">World does not engage in </w:t>
            </w:r>
            <w:proofErr w:type="gramStart"/>
            <w:r>
              <w:rPr>
                <w:rFonts w:ascii="Georgia" w:eastAsiaTheme="minorHAnsi" w:hAnsi="Georgia" w:cs="Georgia"/>
                <w:sz w:val="20"/>
                <w:szCs w:val="20"/>
              </w:rPr>
              <w:t xml:space="preserve">any </w:t>
            </w:r>
            <w:r w:rsidRPr="008B45C2">
              <w:rPr>
                <w:rFonts w:ascii="Georgia" w:eastAsiaTheme="minorHAnsi" w:hAnsi="Georgia" w:cs="Georgia"/>
                <w:sz w:val="20"/>
                <w:szCs w:val="20"/>
              </w:rPr>
              <w:t xml:space="preserve"> </w:t>
            </w:r>
            <w:r>
              <w:rPr>
                <w:rFonts w:ascii="Georgia" w:eastAsiaTheme="minorHAnsi" w:hAnsi="Georgia" w:cs="Georgia"/>
                <w:sz w:val="20"/>
                <w:szCs w:val="20"/>
              </w:rPr>
              <w:t>alternative</w:t>
            </w:r>
            <w:proofErr w:type="gramEnd"/>
            <w:r>
              <w:rPr>
                <w:rFonts w:ascii="Georgia" w:eastAsiaTheme="minorHAnsi" w:hAnsi="Georgia" w:cs="Georgia"/>
                <w:sz w:val="20"/>
                <w:szCs w:val="20"/>
              </w:rPr>
              <w:t xml:space="preserve"> investments.</w:t>
            </w:r>
          </w:p>
        </w:tc>
        <w:tc>
          <w:tcPr>
            <w:tcW w:w="3063" w:type="dxa"/>
            <w:gridSpan w:val="2"/>
          </w:tcPr>
          <w:p w14:paraId="6632B779" w14:textId="77777777" w:rsidR="001678E2" w:rsidRPr="008038FE" w:rsidRDefault="001678E2" w:rsidP="005546CB">
            <w:pPr>
              <w:widowControl/>
              <w:adjustRightInd w:val="0"/>
              <w:rPr>
                <w:rFonts w:ascii="Georgia" w:eastAsiaTheme="minorHAnsi" w:hAnsi="Georgia" w:cs="Georgia"/>
                <w:color w:val="000000"/>
                <w:sz w:val="18"/>
                <w:szCs w:val="18"/>
              </w:rPr>
            </w:pPr>
          </w:p>
        </w:tc>
        <w:tc>
          <w:tcPr>
            <w:tcW w:w="3064" w:type="dxa"/>
            <w:gridSpan w:val="2"/>
          </w:tcPr>
          <w:p w14:paraId="42B583D5" w14:textId="77777777" w:rsidR="001678E2" w:rsidRPr="008038FE" w:rsidRDefault="001678E2" w:rsidP="005546CB">
            <w:pPr>
              <w:widowControl/>
              <w:adjustRightInd w:val="0"/>
              <w:rPr>
                <w:rFonts w:ascii="Georgia" w:eastAsiaTheme="minorHAnsi" w:hAnsi="Georgia" w:cs="Georgia"/>
                <w:color w:val="000000"/>
                <w:sz w:val="18"/>
                <w:szCs w:val="18"/>
              </w:rPr>
            </w:pPr>
          </w:p>
        </w:tc>
      </w:tr>
      <w:tr w:rsidR="001678E2" w:rsidRPr="008038FE" w14:paraId="1027FD0C" w14:textId="77777777" w:rsidTr="005546CB">
        <w:trPr>
          <w:trHeight w:val="93"/>
        </w:trPr>
        <w:tc>
          <w:tcPr>
            <w:tcW w:w="2297" w:type="dxa"/>
          </w:tcPr>
          <w:p w14:paraId="41136805" w14:textId="77777777" w:rsidR="001678E2" w:rsidRPr="008038FE" w:rsidRDefault="001678E2" w:rsidP="005546CB">
            <w:pPr>
              <w:widowControl/>
              <w:adjustRightInd w:val="0"/>
              <w:rPr>
                <w:rFonts w:ascii="Georgia" w:eastAsiaTheme="minorHAnsi" w:hAnsi="Georgia" w:cs="Georgia"/>
                <w:color w:val="000000"/>
                <w:sz w:val="17"/>
                <w:szCs w:val="17"/>
              </w:rPr>
            </w:pPr>
          </w:p>
        </w:tc>
        <w:tc>
          <w:tcPr>
            <w:tcW w:w="8973" w:type="dxa"/>
            <w:gridSpan w:val="2"/>
          </w:tcPr>
          <w:p w14:paraId="208A70DE" w14:textId="77777777" w:rsidR="001678E2" w:rsidRPr="008038FE" w:rsidRDefault="001678E2" w:rsidP="005546CB">
            <w:pPr>
              <w:widowControl/>
              <w:adjustRightInd w:val="0"/>
              <w:rPr>
                <w:rFonts w:ascii="Georgia" w:eastAsiaTheme="minorHAnsi" w:hAnsi="Georgia" w:cs="Georgia"/>
                <w:color w:val="000000"/>
                <w:sz w:val="17"/>
                <w:szCs w:val="17"/>
              </w:rPr>
            </w:pPr>
          </w:p>
        </w:tc>
        <w:tc>
          <w:tcPr>
            <w:tcW w:w="2297" w:type="dxa"/>
            <w:gridSpan w:val="2"/>
          </w:tcPr>
          <w:p w14:paraId="7A18C172" w14:textId="77777777" w:rsidR="001678E2" w:rsidRPr="008038FE" w:rsidRDefault="001678E2" w:rsidP="005546CB">
            <w:pPr>
              <w:widowControl/>
              <w:adjustRightInd w:val="0"/>
              <w:rPr>
                <w:rFonts w:ascii="Georgia" w:eastAsiaTheme="minorHAnsi" w:hAnsi="Georgia" w:cs="Georgia"/>
                <w:color w:val="000000"/>
                <w:sz w:val="17"/>
                <w:szCs w:val="17"/>
              </w:rPr>
            </w:pPr>
          </w:p>
        </w:tc>
        <w:tc>
          <w:tcPr>
            <w:tcW w:w="2298" w:type="dxa"/>
          </w:tcPr>
          <w:p w14:paraId="22C23996" w14:textId="77777777" w:rsidR="001678E2" w:rsidRPr="008038FE" w:rsidRDefault="001678E2" w:rsidP="005546CB">
            <w:pPr>
              <w:widowControl/>
              <w:adjustRightInd w:val="0"/>
              <w:rPr>
                <w:rFonts w:ascii="Georgia" w:eastAsiaTheme="minorHAnsi" w:hAnsi="Georgia" w:cs="Georgia"/>
                <w:color w:val="000000"/>
                <w:sz w:val="17"/>
                <w:szCs w:val="17"/>
              </w:rPr>
            </w:pPr>
          </w:p>
        </w:tc>
      </w:tr>
    </w:tbl>
    <w:p w14:paraId="692368C2" w14:textId="77777777" w:rsidR="001678E2" w:rsidRPr="007F6B81" w:rsidRDefault="001678E2" w:rsidP="001678E2">
      <w:pPr>
        <w:pStyle w:val="BodyText"/>
        <w:kinsoku w:val="0"/>
        <w:overflowPunct w:val="0"/>
        <w:spacing w:line="314" w:lineRule="exact"/>
        <w:rPr>
          <w:rFonts w:ascii="Georgia" w:hAnsi="Georgia"/>
          <w:b/>
          <w:bCs/>
        </w:rPr>
      </w:pPr>
      <w:r w:rsidRPr="007F6B81">
        <w:rPr>
          <w:rFonts w:ascii="Georgia" w:hAnsi="Georgia"/>
          <w:b/>
          <w:bCs/>
        </w:rPr>
        <w:t>Unit Investment Trusts (UITs)</w:t>
      </w:r>
    </w:p>
    <w:p w14:paraId="0E76CB8C" w14:textId="77777777" w:rsidR="001678E2" w:rsidRDefault="001678E2" w:rsidP="001678E2">
      <w:pPr>
        <w:pStyle w:val="BodyText"/>
        <w:kinsoku w:val="0"/>
        <w:overflowPunct w:val="0"/>
        <w:ind w:right="2"/>
        <w:rPr>
          <w:rFonts w:ascii="Georgia" w:hAnsi="Georgia"/>
        </w:rPr>
      </w:pPr>
      <w:r w:rsidRPr="007F6B81">
        <w:rPr>
          <w:rFonts w:ascii="Georgia" w:hAnsi="Georgia"/>
        </w:rPr>
        <w:t xml:space="preserve">Our UITs consist of Equity and Fixed-Income UITs. We, along with your </w:t>
      </w:r>
      <w:r>
        <w:rPr>
          <w:rFonts w:ascii="Georgia" w:hAnsi="Georgia"/>
        </w:rPr>
        <w:t>financial advisor</w:t>
      </w:r>
      <w:r w:rsidRPr="007F6B81">
        <w:rPr>
          <w:rFonts w:ascii="Georgia" w:hAnsi="Georgia"/>
        </w:rPr>
        <w:t>s, are compensated in ways that vary depending on the type and terms of the UIT portfolio selected. The types of fees received by us are described below and are disclosed via the prospectus issued by the UIT provider.</w:t>
      </w:r>
      <w:r>
        <w:rPr>
          <w:rFonts w:ascii="Georgia" w:hAnsi="Georgia"/>
        </w:rPr>
        <w:t xml:space="preserve"> </w:t>
      </w:r>
      <w:r w:rsidRPr="007F6B81">
        <w:rPr>
          <w:rFonts w:ascii="Georgia" w:hAnsi="Georgia"/>
        </w:rPr>
        <w:t xml:space="preserve">Your </w:t>
      </w:r>
      <w:r>
        <w:rPr>
          <w:rFonts w:ascii="Georgia" w:hAnsi="Georgia"/>
        </w:rPr>
        <w:t>financial advisor</w:t>
      </w:r>
      <w:r w:rsidRPr="007F6B81">
        <w:rPr>
          <w:rFonts w:ascii="Georgia" w:hAnsi="Georgia"/>
        </w:rPr>
        <w:t xml:space="preserve"> can provide you a copy of the most recent prospectus.</w:t>
      </w:r>
      <w:r>
        <w:rPr>
          <w:rFonts w:ascii="Georgia" w:hAnsi="Georgia"/>
        </w:rPr>
        <w:t xml:space="preserve">  </w:t>
      </w:r>
      <w:r w:rsidRPr="007F6B81">
        <w:rPr>
          <w:rFonts w:ascii="Georgia" w:hAnsi="Georgia"/>
        </w:rPr>
        <w:t>The UIT provider deducts fees as compensation from the proceeds available for investments for marketing and distribution expenses, which may include compensating us as described in each UIT prospectus.</w:t>
      </w:r>
    </w:p>
    <w:p w14:paraId="7E6B7101" w14:textId="77777777" w:rsidR="001678E2" w:rsidRDefault="001678E2" w:rsidP="001678E2">
      <w:pPr>
        <w:pStyle w:val="BodyText"/>
        <w:kinsoku w:val="0"/>
        <w:overflowPunct w:val="0"/>
        <w:ind w:right="2"/>
        <w:rPr>
          <w:rFonts w:ascii="Georgia" w:hAnsi="Georgia"/>
        </w:rPr>
      </w:pPr>
    </w:p>
    <w:p w14:paraId="7ADB2793" w14:textId="77777777" w:rsidR="001678E2" w:rsidRPr="007F6B81" w:rsidRDefault="001678E2" w:rsidP="001678E2">
      <w:pPr>
        <w:pStyle w:val="BodyText"/>
        <w:kinsoku w:val="0"/>
        <w:overflowPunct w:val="0"/>
        <w:ind w:right="2"/>
        <w:rPr>
          <w:rFonts w:ascii="Georgia" w:hAnsi="Georgia"/>
        </w:rPr>
      </w:pPr>
      <w:r>
        <w:rPr>
          <w:rFonts w:ascii="Georgia" w:hAnsi="Georgia"/>
        </w:rPr>
        <w:t xml:space="preserve">World does not engage in UIT investments as part of </w:t>
      </w:r>
      <w:proofErr w:type="gramStart"/>
      <w:r>
        <w:rPr>
          <w:rFonts w:ascii="Georgia" w:hAnsi="Georgia"/>
        </w:rPr>
        <w:t>it</w:t>
      </w:r>
      <w:proofErr w:type="gramEnd"/>
      <w:r>
        <w:rPr>
          <w:rFonts w:ascii="Georgia" w:hAnsi="Georgia"/>
        </w:rPr>
        <w:t xml:space="preserve"> normal business practices.</w:t>
      </w:r>
    </w:p>
    <w:p w14:paraId="448A281D" w14:textId="77777777" w:rsidR="001678E2" w:rsidRDefault="001678E2" w:rsidP="001678E2">
      <w:pPr>
        <w:pStyle w:val="Heading1"/>
        <w:kinsoku w:val="0"/>
        <w:overflowPunct w:val="0"/>
        <w:ind w:left="0"/>
      </w:pPr>
    </w:p>
    <w:p w14:paraId="0331C82A" w14:textId="77777777" w:rsidR="001678E2" w:rsidRPr="007F6B81" w:rsidRDefault="001678E2" w:rsidP="001678E2">
      <w:pPr>
        <w:widowControl/>
        <w:adjustRightInd w:val="0"/>
        <w:rPr>
          <w:rFonts w:ascii="Georgia" w:eastAsiaTheme="minorHAnsi" w:hAnsi="Georgia" w:cs="Georgia"/>
          <w:b/>
          <w:bCs/>
          <w:color w:val="000000"/>
          <w:sz w:val="28"/>
          <w:szCs w:val="28"/>
        </w:rPr>
      </w:pPr>
    </w:p>
    <w:p w14:paraId="27D8AEC1" w14:textId="77777777" w:rsidR="001678E2" w:rsidRDefault="001678E2" w:rsidP="001678E2">
      <w:pPr>
        <w:widowControl/>
        <w:adjustRightInd w:val="0"/>
        <w:rPr>
          <w:rFonts w:ascii="Georgia" w:eastAsiaTheme="minorHAnsi" w:hAnsi="Georgia" w:cs="Georgia"/>
          <w:b/>
          <w:bCs/>
          <w:color w:val="000000"/>
          <w:sz w:val="20"/>
          <w:szCs w:val="20"/>
        </w:rPr>
      </w:pPr>
    </w:p>
    <w:p w14:paraId="3EB4DE22" w14:textId="77777777" w:rsidR="001678E2" w:rsidRPr="007F6B81" w:rsidRDefault="001678E2" w:rsidP="001678E2">
      <w:pPr>
        <w:widowControl/>
        <w:adjustRightInd w:val="0"/>
        <w:rPr>
          <w:rFonts w:ascii="Georgia" w:eastAsiaTheme="minorHAnsi" w:hAnsi="Georgia" w:cs="Georgia"/>
          <w:color w:val="000000"/>
          <w:sz w:val="20"/>
          <w:szCs w:val="20"/>
        </w:rPr>
      </w:pPr>
      <w:r w:rsidRPr="007F6B81">
        <w:rPr>
          <w:rFonts w:ascii="Georgia" w:eastAsiaTheme="minorHAnsi" w:hAnsi="Georgia" w:cs="Georgia"/>
          <w:b/>
          <w:bCs/>
          <w:color w:val="000000"/>
          <w:sz w:val="20"/>
          <w:szCs w:val="20"/>
        </w:rPr>
        <w:t xml:space="preserve">Cash Sweep Program/Bank Deposit Sweep/Other Float Compensation </w:t>
      </w:r>
    </w:p>
    <w:p w14:paraId="3BBA9BCA" w14:textId="77777777" w:rsidR="001678E2" w:rsidRDefault="001678E2" w:rsidP="001678E2">
      <w:pPr>
        <w:widowControl/>
        <w:adjustRightInd w:val="0"/>
        <w:rPr>
          <w:rFonts w:ascii="Georgia" w:eastAsiaTheme="minorHAnsi" w:hAnsi="Georgia" w:cs="Calibri"/>
          <w:sz w:val="20"/>
          <w:szCs w:val="20"/>
        </w:rPr>
      </w:pPr>
    </w:p>
    <w:p w14:paraId="00F75B45" w14:textId="77777777" w:rsidR="001678E2" w:rsidRPr="00FF1185" w:rsidRDefault="001678E2" w:rsidP="001678E2">
      <w:pPr>
        <w:widowControl/>
        <w:adjustRightInd w:val="0"/>
        <w:rPr>
          <w:rFonts w:ascii="Georgia" w:eastAsiaTheme="minorHAnsi" w:hAnsi="Georgia" w:cs="Georgia"/>
          <w:sz w:val="18"/>
          <w:szCs w:val="18"/>
        </w:rPr>
      </w:pPr>
      <w:r>
        <w:rPr>
          <w:rFonts w:ascii="Georgia" w:eastAsiaTheme="minorHAnsi" w:hAnsi="Georgia" w:cs="Georgia"/>
          <w:sz w:val="18"/>
          <w:szCs w:val="18"/>
        </w:rPr>
        <w:t xml:space="preserve"> Wells Fargo Bank, the parent company of First Clearing LLC. is the bank of record for all FDIC deposits.  Depending on the interest rate environment, First Clearing LLC through its parent shares a designated portion of interest on all FDIC balances.  Through its extremely large network, in compliance with Federal Reserve Board regulations, Wells Fargo </w:t>
      </w:r>
      <w:proofErr w:type="gramStart"/>
      <w:r>
        <w:rPr>
          <w:rFonts w:ascii="Georgia" w:eastAsiaTheme="minorHAnsi" w:hAnsi="Georgia" w:cs="Georgia"/>
          <w:sz w:val="18"/>
          <w:szCs w:val="18"/>
        </w:rPr>
        <w:t>is able to</w:t>
      </w:r>
      <w:proofErr w:type="gramEnd"/>
      <w:r>
        <w:rPr>
          <w:rFonts w:ascii="Georgia" w:eastAsiaTheme="minorHAnsi" w:hAnsi="Georgia" w:cs="Georgia"/>
          <w:sz w:val="18"/>
          <w:szCs w:val="18"/>
        </w:rPr>
        <w:t xml:space="preserve"> offer FDIC insurance on each account with a FDIC balance up to $750,000 per account. Normal FDIC insurance at a standard bank is only $250,000 per account.</w:t>
      </w:r>
    </w:p>
    <w:p w14:paraId="6BAEB2EA" w14:textId="77777777" w:rsidR="001678E2" w:rsidRPr="00A750D6" w:rsidRDefault="001678E2" w:rsidP="001678E2">
      <w:pPr>
        <w:widowControl/>
        <w:adjustRightInd w:val="0"/>
        <w:rPr>
          <w:rFonts w:ascii="Georgia" w:eastAsiaTheme="minorHAnsi" w:hAnsi="Georgia" w:cs="Georgia"/>
          <w:color w:val="000000"/>
          <w:sz w:val="20"/>
          <w:szCs w:val="20"/>
        </w:rPr>
      </w:pPr>
    </w:p>
    <w:p w14:paraId="28129E07" w14:textId="77777777" w:rsidR="001678E2" w:rsidRPr="00A750D6" w:rsidRDefault="001678E2" w:rsidP="001678E2">
      <w:pPr>
        <w:widowControl/>
        <w:adjustRightInd w:val="0"/>
        <w:rPr>
          <w:rFonts w:ascii="Georgia" w:eastAsiaTheme="minorHAnsi" w:hAnsi="Georgia"/>
          <w:color w:val="000000"/>
        </w:rPr>
      </w:pPr>
    </w:p>
    <w:p w14:paraId="6D453AB2" w14:textId="77777777" w:rsidR="001678E2" w:rsidRDefault="001678E2" w:rsidP="001678E2">
      <w:pPr>
        <w:widowControl/>
        <w:adjustRightInd w:val="0"/>
        <w:rPr>
          <w:rFonts w:ascii="Georgia" w:eastAsiaTheme="minorHAnsi" w:hAnsi="Georgia" w:cs="Georgia"/>
          <w:b/>
          <w:bCs/>
          <w:sz w:val="20"/>
          <w:szCs w:val="20"/>
        </w:rPr>
      </w:pPr>
      <w:r w:rsidRPr="007F6B81">
        <w:rPr>
          <w:rFonts w:ascii="Georgia" w:eastAsiaTheme="minorHAnsi" w:hAnsi="Georgia" w:cs="Georgia"/>
          <w:b/>
          <w:bCs/>
          <w:sz w:val="20"/>
          <w:szCs w:val="20"/>
        </w:rPr>
        <w:t xml:space="preserve">Training and Education </w:t>
      </w:r>
    </w:p>
    <w:p w14:paraId="13E9BBCC" w14:textId="77777777" w:rsidR="001678E2" w:rsidRPr="007F6B81" w:rsidRDefault="001678E2" w:rsidP="001678E2">
      <w:pPr>
        <w:widowControl/>
        <w:adjustRightInd w:val="0"/>
        <w:rPr>
          <w:rFonts w:ascii="Georgia" w:eastAsiaTheme="minorHAnsi" w:hAnsi="Georgia" w:cs="Georgia"/>
          <w:sz w:val="20"/>
          <w:szCs w:val="20"/>
        </w:rPr>
      </w:pPr>
    </w:p>
    <w:p w14:paraId="08D641C7" w14:textId="77777777" w:rsidR="001678E2" w:rsidRDefault="001678E2" w:rsidP="001678E2">
      <w:pPr>
        <w:widowControl/>
        <w:adjustRightInd w:val="0"/>
        <w:rPr>
          <w:rFonts w:ascii="Georgia" w:eastAsiaTheme="minorHAnsi" w:hAnsi="Georgia" w:cs="Georgia"/>
          <w:sz w:val="20"/>
          <w:szCs w:val="20"/>
        </w:rPr>
      </w:pPr>
      <w:r>
        <w:rPr>
          <w:rFonts w:ascii="Georgia" w:eastAsiaTheme="minorHAnsi" w:hAnsi="Georgia" w:cs="Georgia"/>
          <w:sz w:val="20"/>
          <w:szCs w:val="20"/>
        </w:rPr>
        <w:t>World does not receive any compensation for third party training or education.</w:t>
      </w:r>
    </w:p>
    <w:p w14:paraId="1EA61968" w14:textId="77777777" w:rsidR="001678E2" w:rsidRPr="007F6B81" w:rsidRDefault="001678E2" w:rsidP="001678E2">
      <w:pPr>
        <w:widowControl/>
        <w:adjustRightInd w:val="0"/>
        <w:rPr>
          <w:rFonts w:ascii="Georgia" w:eastAsiaTheme="minorHAnsi" w:hAnsi="Georgia"/>
          <w:sz w:val="20"/>
          <w:szCs w:val="20"/>
        </w:rPr>
      </w:pPr>
    </w:p>
    <w:p w14:paraId="65296167" w14:textId="77777777" w:rsidR="001678E2" w:rsidRPr="00342688" w:rsidRDefault="001678E2" w:rsidP="001678E2">
      <w:pPr>
        <w:widowControl/>
        <w:adjustRightInd w:val="0"/>
        <w:rPr>
          <w:rFonts w:ascii="Georgia" w:eastAsiaTheme="minorHAnsi" w:hAnsi="Georgia"/>
          <w:sz w:val="20"/>
          <w:szCs w:val="20"/>
        </w:rPr>
      </w:pPr>
      <w:r>
        <w:rPr>
          <w:rFonts w:ascii="Georgia" w:eastAsiaTheme="minorHAnsi" w:hAnsi="Georgia" w:cs="Georgia"/>
          <w:sz w:val="20"/>
          <w:szCs w:val="20"/>
        </w:rPr>
        <w:t xml:space="preserve">World does not receive any non-cash </w:t>
      </w:r>
      <w:proofErr w:type="gramStart"/>
      <w:r>
        <w:rPr>
          <w:rFonts w:ascii="Georgia" w:eastAsiaTheme="minorHAnsi" w:hAnsi="Georgia" w:cs="Georgia"/>
          <w:sz w:val="20"/>
          <w:szCs w:val="20"/>
        </w:rPr>
        <w:t>compensation</w:t>
      </w:r>
      <w:proofErr w:type="gramEnd"/>
      <w:r>
        <w:rPr>
          <w:rFonts w:ascii="Georgia" w:eastAsiaTheme="minorHAnsi" w:hAnsi="Georgia" w:cs="Georgia"/>
          <w:sz w:val="20"/>
          <w:szCs w:val="20"/>
        </w:rPr>
        <w:t xml:space="preserve"> such as gifts, meals, entertainment or the like for third party training and education.</w:t>
      </w:r>
      <w:r w:rsidRPr="00342688">
        <w:rPr>
          <w:rFonts w:ascii="Georgia" w:eastAsiaTheme="minorHAnsi" w:hAnsi="Georgia" w:cs="Georgia"/>
          <w:sz w:val="20"/>
          <w:szCs w:val="20"/>
        </w:rPr>
        <w:t xml:space="preserve"> </w:t>
      </w:r>
    </w:p>
    <w:p w14:paraId="7F8A9637" w14:textId="77777777" w:rsidR="001678E2" w:rsidRPr="00342688" w:rsidRDefault="001678E2" w:rsidP="001678E2">
      <w:pPr>
        <w:widowControl/>
        <w:adjustRightInd w:val="0"/>
        <w:rPr>
          <w:rFonts w:ascii="Georgia" w:eastAsiaTheme="minorHAnsi" w:hAnsi="Georgia" w:cs="Georgia"/>
          <w:sz w:val="20"/>
          <w:szCs w:val="20"/>
        </w:rPr>
      </w:pPr>
    </w:p>
    <w:p w14:paraId="02B1A81B" w14:textId="77777777" w:rsidR="001678E2" w:rsidRPr="00A750D6" w:rsidRDefault="001678E2" w:rsidP="001678E2">
      <w:pPr>
        <w:widowControl/>
        <w:adjustRightInd w:val="0"/>
        <w:rPr>
          <w:rFonts w:ascii="Georgia" w:eastAsiaTheme="minorHAnsi" w:hAnsi="Georgia" w:cs="Georgia"/>
          <w:b/>
          <w:bCs/>
          <w:sz w:val="28"/>
          <w:szCs w:val="28"/>
        </w:rPr>
      </w:pPr>
    </w:p>
    <w:p w14:paraId="748ACB7A" w14:textId="77777777" w:rsidR="001678E2" w:rsidRPr="007F6B81" w:rsidRDefault="001678E2" w:rsidP="001678E2">
      <w:pPr>
        <w:widowControl/>
        <w:adjustRightInd w:val="0"/>
        <w:rPr>
          <w:rFonts w:ascii="Georgia" w:eastAsiaTheme="minorHAnsi" w:hAnsi="Georgia"/>
          <w:sz w:val="20"/>
          <w:szCs w:val="20"/>
        </w:rPr>
      </w:pPr>
      <w:r w:rsidRPr="007F6B81">
        <w:rPr>
          <w:rFonts w:ascii="Georgia" w:eastAsiaTheme="minorHAnsi" w:hAnsi="Georgia" w:cs="Georgia"/>
          <w:b/>
          <w:bCs/>
          <w:sz w:val="20"/>
          <w:szCs w:val="20"/>
        </w:rPr>
        <w:t xml:space="preserve">Operational Fees </w:t>
      </w:r>
    </w:p>
    <w:p w14:paraId="0BAD05F4" w14:textId="77777777" w:rsidR="001678E2" w:rsidRDefault="001678E2" w:rsidP="001678E2">
      <w:pPr>
        <w:widowControl/>
        <w:adjustRightInd w:val="0"/>
        <w:rPr>
          <w:rFonts w:ascii="Georgia" w:eastAsiaTheme="minorHAnsi" w:hAnsi="Georgia" w:cs="Georgia"/>
          <w:sz w:val="20"/>
          <w:szCs w:val="20"/>
        </w:rPr>
      </w:pPr>
    </w:p>
    <w:p w14:paraId="07CA2B26" w14:textId="77777777" w:rsidR="001678E2" w:rsidRDefault="001678E2" w:rsidP="001678E2">
      <w:pPr>
        <w:widowControl/>
        <w:adjustRightInd w:val="0"/>
        <w:rPr>
          <w:rFonts w:ascii="Georgia" w:eastAsiaTheme="minorHAnsi" w:hAnsi="Georgia" w:cs="Georgia"/>
          <w:sz w:val="20"/>
          <w:szCs w:val="20"/>
        </w:rPr>
      </w:pPr>
    </w:p>
    <w:p w14:paraId="71E60B8C" w14:textId="77777777" w:rsidR="001678E2" w:rsidRDefault="001678E2" w:rsidP="001678E2">
      <w:pPr>
        <w:widowControl/>
        <w:adjustRightInd w:val="0"/>
        <w:rPr>
          <w:rFonts w:ascii="Georgia" w:eastAsiaTheme="minorHAnsi" w:hAnsi="Georgia" w:cs="Georgia"/>
          <w:sz w:val="20"/>
          <w:szCs w:val="20"/>
        </w:rPr>
      </w:pPr>
      <w:r>
        <w:rPr>
          <w:rFonts w:ascii="Georgia" w:eastAsiaTheme="minorHAnsi" w:hAnsi="Georgia" w:cs="Georgia"/>
          <w:sz w:val="20"/>
          <w:szCs w:val="20"/>
        </w:rPr>
        <w:t>World does not receive any fees from third party operational related activities.</w:t>
      </w:r>
    </w:p>
    <w:p w14:paraId="2155E349" w14:textId="77777777" w:rsidR="001678E2" w:rsidRPr="00FF7061" w:rsidRDefault="001678E2" w:rsidP="001678E2">
      <w:pPr>
        <w:widowControl/>
        <w:adjustRightInd w:val="0"/>
        <w:rPr>
          <w:rFonts w:ascii="Georgia" w:eastAsiaTheme="minorHAnsi" w:hAnsi="Georgia" w:cs="Georgia"/>
          <w:b/>
          <w:bCs/>
          <w:sz w:val="23"/>
          <w:szCs w:val="23"/>
        </w:rPr>
      </w:pPr>
    </w:p>
    <w:p w14:paraId="76FD30DF" w14:textId="77777777" w:rsidR="001678E2" w:rsidRPr="0084768E" w:rsidRDefault="001678E2" w:rsidP="001678E2">
      <w:pPr>
        <w:widowControl/>
        <w:adjustRightInd w:val="0"/>
        <w:rPr>
          <w:rFonts w:ascii="Georgia" w:eastAsiaTheme="minorHAnsi" w:hAnsi="Georgia" w:cs="Georgia"/>
          <w:sz w:val="20"/>
          <w:szCs w:val="20"/>
        </w:rPr>
      </w:pPr>
      <w:r w:rsidRPr="0084768E">
        <w:rPr>
          <w:rFonts w:ascii="Georgia" w:eastAsiaTheme="minorHAnsi" w:hAnsi="Georgia" w:cs="Georgia"/>
          <w:b/>
          <w:bCs/>
          <w:sz w:val="20"/>
          <w:szCs w:val="20"/>
        </w:rPr>
        <w:t xml:space="preserve">Trade Corrections </w:t>
      </w:r>
    </w:p>
    <w:p w14:paraId="6A48D48B" w14:textId="77777777" w:rsidR="001678E2" w:rsidRDefault="001678E2" w:rsidP="001678E2">
      <w:pPr>
        <w:widowControl/>
        <w:adjustRightInd w:val="0"/>
        <w:rPr>
          <w:rFonts w:ascii="Georgia" w:eastAsiaTheme="minorHAnsi" w:hAnsi="Georgia" w:cs="Georgia"/>
          <w:sz w:val="20"/>
          <w:szCs w:val="20"/>
        </w:rPr>
      </w:pPr>
    </w:p>
    <w:p w14:paraId="070ECA51" w14:textId="77777777" w:rsidR="001678E2" w:rsidRDefault="001678E2" w:rsidP="001678E2">
      <w:pPr>
        <w:widowControl/>
        <w:adjustRightInd w:val="0"/>
        <w:rPr>
          <w:rFonts w:ascii="Georgia" w:eastAsiaTheme="minorHAnsi" w:hAnsi="Georgia" w:cs="Georgia"/>
          <w:sz w:val="20"/>
          <w:szCs w:val="20"/>
        </w:rPr>
      </w:pPr>
      <w:r>
        <w:rPr>
          <w:rFonts w:ascii="Georgia" w:eastAsiaTheme="minorHAnsi" w:hAnsi="Georgia" w:cs="Georgia"/>
          <w:sz w:val="20"/>
          <w:szCs w:val="20"/>
        </w:rPr>
        <w:t>Although post settle trade corrections are billable by its clearing agent, World does not charge a customer for a trade correction.</w:t>
      </w:r>
    </w:p>
    <w:p w14:paraId="5D743587" w14:textId="77777777" w:rsidR="001678E2" w:rsidRPr="007F6B81" w:rsidRDefault="001678E2" w:rsidP="001678E2">
      <w:pPr>
        <w:widowControl/>
        <w:adjustRightInd w:val="0"/>
        <w:rPr>
          <w:rFonts w:ascii="Georgia" w:eastAsiaTheme="minorHAnsi" w:hAnsi="Georgia"/>
          <w:sz w:val="20"/>
          <w:szCs w:val="20"/>
        </w:rPr>
      </w:pPr>
    </w:p>
    <w:p w14:paraId="4E366D69" w14:textId="77777777" w:rsidR="001678E2" w:rsidRPr="007F6B81" w:rsidRDefault="001678E2" w:rsidP="001678E2">
      <w:pPr>
        <w:widowControl/>
        <w:adjustRightInd w:val="0"/>
        <w:rPr>
          <w:rFonts w:ascii="Georgia" w:eastAsiaTheme="minorHAnsi" w:hAnsi="Georgia" w:cs="Georgia"/>
          <w:b/>
          <w:bCs/>
          <w:sz w:val="23"/>
          <w:szCs w:val="23"/>
        </w:rPr>
      </w:pPr>
    </w:p>
    <w:p w14:paraId="1910282B" w14:textId="77777777" w:rsidR="001678E2" w:rsidRPr="007F6B81" w:rsidRDefault="001678E2" w:rsidP="001678E2">
      <w:pPr>
        <w:widowControl/>
        <w:adjustRightInd w:val="0"/>
        <w:rPr>
          <w:rFonts w:ascii="Georgia" w:eastAsiaTheme="minorHAnsi" w:hAnsi="Georgia" w:cs="Georgia"/>
          <w:sz w:val="20"/>
          <w:szCs w:val="20"/>
        </w:rPr>
      </w:pPr>
      <w:r w:rsidRPr="007F6B81">
        <w:rPr>
          <w:rFonts w:ascii="Georgia" w:eastAsiaTheme="minorHAnsi" w:hAnsi="Georgia" w:cs="Georgia"/>
          <w:b/>
          <w:bCs/>
          <w:sz w:val="20"/>
          <w:szCs w:val="20"/>
        </w:rPr>
        <w:t xml:space="preserve">Compensation for Termination of Services </w:t>
      </w:r>
    </w:p>
    <w:p w14:paraId="1BE1B6FD" w14:textId="77777777" w:rsidR="001678E2" w:rsidRDefault="001678E2" w:rsidP="001678E2">
      <w:pPr>
        <w:pStyle w:val="Default"/>
        <w:rPr>
          <w:rFonts w:ascii="Georgia" w:hAnsi="Georgia" w:cs="Georgia"/>
          <w:color w:val="auto"/>
          <w:sz w:val="20"/>
          <w:szCs w:val="20"/>
        </w:rPr>
      </w:pPr>
      <w:r w:rsidRPr="007F6B81">
        <w:rPr>
          <w:rFonts w:ascii="Georgia" w:hAnsi="Georgia" w:cs="Georgia"/>
          <w:color w:val="auto"/>
          <w:sz w:val="20"/>
          <w:szCs w:val="20"/>
        </w:rPr>
        <w:t xml:space="preserve">Other than any contingent deferred sales charge for a fund (as described under the Mutual Funds section above, if applicable), IRA termination fees (when applicable), and account transfer fees, the firm would not receive any additional compensation in connection with the termination of its services. If you have questions or need additional copies, contact your </w:t>
      </w:r>
      <w:r>
        <w:rPr>
          <w:rFonts w:ascii="Georgia" w:hAnsi="Georgia" w:cs="Georgia"/>
          <w:color w:val="auto"/>
          <w:sz w:val="20"/>
          <w:szCs w:val="20"/>
        </w:rPr>
        <w:t>financial advisor</w:t>
      </w:r>
      <w:r w:rsidRPr="007F6B81">
        <w:rPr>
          <w:rFonts w:ascii="Georgia" w:hAnsi="Georgia" w:cs="Georgia"/>
          <w:color w:val="auto"/>
          <w:sz w:val="20"/>
          <w:szCs w:val="20"/>
        </w:rPr>
        <w:t>.</w:t>
      </w:r>
    </w:p>
    <w:p w14:paraId="3D35D8AF" w14:textId="77777777" w:rsidR="001678E2" w:rsidRDefault="001678E2" w:rsidP="001678E2">
      <w:pPr>
        <w:pStyle w:val="Default"/>
        <w:rPr>
          <w:rFonts w:ascii="Georgia" w:hAnsi="Georgia" w:cs="Georgia"/>
          <w:color w:val="auto"/>
          <w:sz w:val="20"/>
          <w:szCs w:val="20"/>
        </w:rPr>
      </w:pPr>
    </w:p>
    <w:p w14:paraId="55C68412" w14:textId="77777777" w:rsidR="001678E2" w:rsidRDefault="001678E2" w:rsidP="001678E2">
      <w:pPr>
        <w:pStyle w:val="Default"/>
        <w:rPr>
          <w:rFonts w:ascii="Georgia" w:eastAsia="Arial" w:hAnsi="Georgia" w:cs="Arial"/>
          <w:bCs/>
          <w:color w:val="auto"/>
        </w:rPr>
      </w:pPr>
    </w:p>
    <w:p w14:paraId="3BC57FDB" w14:textId="77777777" w:rsidR="001678E2" w:rsidRDefault="001678E2" w:rsidP="001678E2">
      <w:pPr>
        <w:pStyle w:val="Heading1"/>
        <w:ind w:left="0" w:firstLine="120"/>
        <w:rPr>
          <w:rFonts w:ascii="Georgia" w:hAnsi="Georgia"/>
          <w:sz w:val="36"/>
          <w:szCs w:val="36"/>
          <w:u w:val="none"/>
        </w:rPr>
      </w:pPr>
      <w:bookmarkStart w:id="0" w:name="WellsTrade®_account_commissions_and_fees"/>
      <w:bookmarkStart w:id="1" w:name="Stocks_and_Exchange-Traded_Funds_(ETFs)"/>
      <w:bookmarkStart w:id="2" w:name="Penny_Stocks"/>
      <w:bookmarkStart w:id="3" w:name="Mutual_Funds"/>
      <w:bookmarkStart w:id="4" w:name="Compensation_to_Wells_Fargo_Advisors"/>
      <w:bookmarkStart w:id="5" w:name="Qualification_for_discounted_pricing_wit"/>
      <w:bookmarkEnd w:id="0"/>
      <w:bookmarkEnd w:id="1"/>
      <w:bookmarkEnd w:id="2"/>
      <w:bookmarkEnd w:id="3"/>
      <w:bookmarkEnd w:id="4"/>
      <w:bookmarkEnd w:id="5"/>
    </w:p>
    <w:p w14:paraId="22C6BBD1" w14:textId="77777777" w:rsidR="001678E2" w:rsidRDefault="001678E2" w:rsidP="001678E2">
      <w:pPr>
        <w:pStyle w:val="Heading1"/>
        <w:ind w:left="0"/>
        <w:rPr>
          <w:rFonts w:ascii="Georgia" w:hAnsi="Georgia"/>
          <w:sz w:val="36"/>
          <w:szCs w:val="36"/>
          <w:u w:val="none"/>
        </w:rPr>
      </w:pPr>
      <w:r w:rsidRPr="004A57A7">
        <w:rPr>
          <w:rFonts w:ascii="Georgia" w:hAnsi="Georgia"/>
          <w:sz w:val="36"/>
          <w:szCs w:val="36"/>
          <w:u w:val="none"/>
        </w:rPr>
        <w:t xml:space="preserve">Conflicts of </w:t>
      </w:r>
      <w:r>
        <w:rPr>
          <w:rFonts w:ascii="Georgia" w:hAnsi="Georgia"/>
          <w:sz w:val="36"/>
          <w:szCs w:val="36"/>
          <w:u w:val="none"/>
        </w:rPr>
        <w:t>i</w:t>
      </w:r>
      <w:r w:rsidRPr="004A57A7">
        <w:rPr>
          <w:rFonts w:ascii="Georgia" w:hAnsi="Georgia"/>
          <w:sz w:val="36"/>
          <w:szCs w:val="36"/>
          <w:u w:val="none"/>
        </w:rPr>
        <w:t>nterest</w:t>
      </w:r>
      <w:r>
        <w:rPr>
          <w:rFonts w:ascii="Georgia" w:hAnsi="Georgia"/>
          <w:sz w:val="36"/>
          <w:szCs w:val="36"/>
          <w:u w:val="none"/>
        </w:rPr>
        <w:t xml:space="preserve"> </w:t>
      </w:r>
    </w:p>
    <w:p w14:paraId="3D2010CD" w14:textId="77777777" w:rsidR="001678E2" w:rsidRDefault="001678E2" w:rsidP="001678E2">
      <w:pPr>
        <w:pStyle w:val="BodyText"/>
        <w:kinsoku w:val="0"/>
        <w:overflowPunct w:val="0"/>
        <w:spacing w:before="56"/>
        <w:ind w:right="283"/>
        <w:rPr>
          <w:rFonts w:ascii="Georgia" w:hAnsi="Georgia"/>
          <w:iCs/>
        </w:rPr>
      </w:pPr>
      <w:r>
        <w:rPr>
          <w:rFonts w:ascii="Georgia" w:hAnsi="Georgia"/>
          <w:iCs/>
        </w:rPr>
        <w:br/>
        <w:t xml:space="preserve">Conflicts of interest exist when we provide brokerage services to you. A </w:t>
      </w:r>
      <w:r w:rsidRPr="002D5050">
        <w:rPr>
          <w:rFonts w:ascii="Georgia" w:hAnsi="Georgia"/>
          <w:iCs/>
        </w:rPr>
        <w:t xml:space="preserve">conflict of interest is a situation in which </w:t>
      </w:r>
      <w:r>
        <w:rPr>
          <w:rFonts w:ascii="Georgia" w:hAnsi="Georgia"/>
          <w:iCs/>
        </w:rPr>
        <w:t>we</w:t>
      </w:r>
      <w:r w:rsidRPr="002D5050">
        <w:rPr>
          <w:rFonts w:ascii="Georgia" w:hAnsi="Georgia"/>
          <w:iCs/>
        </w:rPr>
        <w:t xml:space="preserve"> engage in a transaction or activity where </w:t>
      </w:r>
      <w:r>
        <w:rPr>
          <w:rFonts w:ascii="Georgia" w:hAnsi="Georgia"/>
          <w:iCs/>
        </w:rPr>
        <w:t>our</w:t>
      </w:r>
      <w:r w:rsidRPr="002D5050">
        <w:rPr>
          <w:rFonts w:ascii="Georgia" w:hAnsi="Georgia"/>
          <w:iCs/>
        </w:rPr>
        <w:t xml:space="preserve"> interest </w:t>
      </w:r>
      <w:r>
        <w:rPr>
          <w:rFonts w:ascii="Georgia" w:hAnsi="Georgia"/>
          <w:iCs/>
        </w:rPr>
        <w:t>is</w:t>
      </w:r>
      <w:r w:rsidRPr="002D5050">
        <w:rPr>
          <w:rFonts w:ascii="Georgia" w:hAnsi="Georgia"/>
          <w:iCs/>
        </w:rPr>
        <w:t xml:space="preserve"> materially </w:t>
      </w:r>
      <w:proofErr w:type="gramStart"/>
      <w:r w:rsidRPr="002D5050">
        <w:rPr>
          <w:rFonts w:ascii="Georgia" w:hAnsi="Georgia"/>
          <w:iCs/>
        </w:rPr>
        <w:t>adverse</w:t>
      </w:r>
      <w:proofErr w:type="gramEnd"/>
      <w:r w:rsidRPr="002D5050">
        <w:rPr>
          <w:rFonts w:ascii="Georgia" w:hAnsi="Georgia"/>
          <w:iCs/>
        </w:rPr>
        <w:t xml:space="preserve"> to</w:t>
      </w:r>
      <w:r>
        <w:rPr>
          <w:rFonts w:ascii="Georgia" w:hAnsi="Georgia"/>
          <w:iCs/>
        </w:rPr>
        <w:t xml:space="preserve"> your </w:t>
      </w:r>
      <w:r w:rsidRPr="002D5050">
        <w:rPr>
          <w:rFonts w:ascii="Georgia" w:hAnsi="Georgia"/>
          <w:iCs/>
        </w:rPr>
        <w:t>interest</w:t>
      </w:r>
      <w:r>
        <w:rPr>
          <w:rFonts w:ascii="Georgia" w:hAnsi="Georgia"/>
          <w:iCs/>
        </w:rPr>
        <w:t xml:space="preserve">. The mere presence of a conflict of interest does not imply that harm to your interests will occur, but it is important that we acknowledge the presence of conflicts. Moreover, our regulatory obligations require that we establish, maintain, and enforce written policies and procedures reasonably designed to address conflicts of interest associated with our recommendations to you. </w:t>
      </w:r>
      <w:r>
        <w:rPr>
          <w:rFonts w:ascii="Georgia" w:hAnsi="Georgia"/>
          <w:iCs/>
        </w:rPr>
        <w:br/>
      </w:r>
    </w:p>
    <w:p w14:paraId="12315414" w14:textId="77777777" w:rsidR="001678E2" w:rsidRDefault="001678E2" w:rsidP="001678E2">
      <w:pPr>
        <w:pStyle w:val="BodyText"/>
        <w:kinsoku w:val="0"/>
        <w:overflowPunct w:val="0"/>
        <w:spacing w:before="56"/>
        <w:ind w:right="283"/>
        <w:rPr>
          <w:rFonts w:ascii="Georgia" w:hAnsi="Georgia"/>
          <w:iCs/>
        </w:rPr>
      </w:pPr>
      <w:r>
        <w:rPr>
          <w:rFonts w:ascii="Georgia" w:hAnsi="Georgia"/>
        </w:rPr>
        <w:t>O</w:t>
      </w:r>
      <w:r>
        <w:rPr>
          <w:rFonts w:ascii="Georgia" w:hAnsi="Georgia"/>
          <w:iCs/>
        </w:rPr>
        <w:t>ur conflicts of interest are typically the result of compensation structures and other financial arrangements between us, our financial advisors, our clients and third parties. W</w:t>
      </w:r>
      <w:r w:rsidRPr="007F6B81">
        <w:rPr>
          <w:rFonts w:ascii="Georgia" w:hAnsi="Georgia"/>
        </w:rPr>
        <w:t>e offer a broad range of investment services and products</w:t>
      </w:r>
      <w:r>
        <w:rPr>
          <w:rFonts w:ascii="Georgia" w:hAnsi="Georgia"/>
        </w:rPr>
        <w:t xml:space="preserve"> and w</w:t>
      </w:r>
      <w:r w:rsidRPr="007F6B81">
        <w:rPr>
          <w:rFonts w:ascii="Georgia" w:hAnsi="Georgia"/>
        </w:rPr>
        <w:t xml:space="preserve">e receive various forms of compensation from </w:t>
      </w:r>
      <w:r>
        <w:rPr>
          <w:rFonts w:ascii="Georgia" w:hAnsi="Georgia"/>
        </w:rPr>
        <w:t xml:space="preserve">our clients and </w:t>
      </w:r>
      <w:r w:rsidRPr="007F6B81">
        <w:rPr>
          <w:rFonts w:ascii="Georgia" w:hAnsi="Georgia"/>
        </w:rPr>
        <w:t>non-affiliated product providers.</w:t>
      </w:r>
      <w:r w:rsidRPr="00BD277F">
        <w:rPr>
          <w:rFonts w:ascii="Georgia" w:hAnsi="Georgia"/>
        </w:rPr>
        <w:t xml:space="preserve"> </w:t>
      </w:r>
      <w:r>
        <w:rPr>
          <w:rFonts w:ascii="Georgia" w:hAnsi="Georgia"/>
        </w:rPr>
        <w:t>Securities rules allow for</w:t>
      </w:r>
      <w:r w:rsidRPr="007F6B81">
        <w:rPr>
          <w:rFonts w:ascii="Georgia" w:hAnsi="Georgia"/>
        </w:rPr>
        <w:t xml:space="preserve"> us, our </w:t>
      </w:r>
      <w:r>
        <w:rPr>
          <w:rFonts w:ascii="Georgia" w:hAnsi="Georgia"/>
        </w:rPr>
        <w:t>financial advisors,</w:t>
      </w:r>
      <w:r w:rsidRPr="007F6B81">
        <w:rPr>
          <w:rFonts w:ascii="Georgia" w:hAnsi="Georgia"/>
        </w:rPr>
        <w:t xml:space="preserve"> and our affiliates to earn compensation when we provide </w:t>
      </w:r>
      <w:r>
        <w:rPr>
          <w:rFonts w:ascii="Georgia" w:hAnsi="Georgia"/>
        </w:rPr>
        <w:t>brokerage services to you. However, t</w:t>
      </w:r>
      <w:r w:rsidRPr="007F6B81">
        <w:rPr>
          <w:rFonts w:ascii="Georgia" w:hAnsi="Georgia"/>
        </w:rPr>
        <w:t xml:space="preserve">he compensation that we and our </w:t>
      </w:r>
      <w:r>
        <w:rPr>
          <w:rFonts w:ascii="Georgia" w:hAnsi="Georgia"/>
        </w:rPr>
        <w:t>financial advisor</w:t>
      </w:r>
      <w:r w:rsidRPr="007F6B81">
        <w:rPr>
          <w:rFonts w:ascii="Georgia" w:hAnsi="Georgia"/>
        </w:rPr>
        <w:t xml:space="preserve">s receive from </w:t>
      </w:r>
      <w:r>
        <w:rPr>
          <w:rFonts w:ascii="Georgia" w:hAnsi="Georgia"/>
        </w:rPr>
        <w:t>you</w:t>
      </w:r>
      <w:r w:rsidRPr="007F6B81">
        <w:rPr>
          <w:rFonts w:ascii="Georgia" w:hAnsi="Georgia"/>
        </w:rPr>
        <w:t xml:space="preserve"> varies based upon the product or service you purchase, which</w:t>
      </w:r>
      <w:r>
        <w:rPr>
          <w:rFonts w:ascii="Georgia" w:hAnsi="Georgia"/>
        </w:rPr>
        <w:t xml:space="preserve"> under industry conditions may</w:t>
      </w:r>
      <w:r w:rsidRPr="007F6B81">
        <w:rPr>
          <w:rFonts w:ascii="Georgia" w:hAnsi="Georgia"/>
        </w:rPr>
        <w:t xml:space="preserve"> create a financial incentive to recommend investment products and services that genera</w:t>
      </w:r>
      <w:r>
        <w:rPr>
          <w:rFonts w:ascii="Georgia" w:hAnsi="Georgia"/>
        </w:rPr>
        <w:t>te greater compensation to us.  World does not recommend any purchase or sale with the intention that such transaction would create a situation of greater compensation to us.</w:t>
      </w:r>
    </w:p>
    <w:p w14:paraId="0973414F" w14:textId="77777777" w:rsidR="001678E2" w:rsidRDefault="001678E2" w:rsidP="001678E2">
      <w:pPr>
        <w:pStyle w:val="BodyText"/>
        <w:kinsoku w:val="0"/>
        <w:overflowPunct w:val="0"/>
        <w:spacing w:before="56"/>
        <w:ind w:right="283"/>
        <w:rPr>
          <w:rFonts w:ascii="Georgia" w:eastAsiaTheme="minorHAnsi" w:hAnsi="Georgia" w:cs="Georgia"/>
          <w:color w:val="000000"/>
        </w:rPr>
      </w:pPr>
      <w:r>
        <w:rPr>
          <w:rFonts w:ascii="Georgia" w:hAnsi="Georgia"/>
          <w:iCs/>
        </w:rPr>
        <w:br/>
        <w:t>W</w:t>
      </w:r>
      <w:r w:rsidRPr="002D5050">
        <w:rPr>
          <w:rFonts w:ascii="Georgia" w:hAnsi="Georgia"/>
          <w:iCs/>
        </w:rPr>
        <w:t xml:space="preserve">e are committed to taking appropriate steps to identify, </w:t>
      </w:r>
      <w:r>
        <w:rPr>
          <w:rFonts w:ascii="Georgia" w:hAnsi="Georgia"/>
          <w:iCs/>
        </w:rPr>
        <w:t xml:space="preserve">mitigate and </w:t>
      </w:r>
      <w:r w:rsidRPr="002D5050">
        <w:rPr>
          <w:rFonts w:ascii="Georgia" w:hAnsi="Georgia"/>
          <w:iCs/>
        </w:rPr>
        <w:t xml:space="preserve">avoid conflicts of interest to ensure we act in your best interest when providing brokerage </w:t>
      </w:r>
      <w:r>
        <w:rPr>
          <w:rFonts w:ascii="Georgia" w:hAnsi="Georgia"/>
          <w:iCs/>
        </w:rPr>
        <w:t>recommendations</w:t>
      </w:r>
      <w:r w:rsidRPr="002D5050">
        <w:rPr>
          <w:rFonts w:ascii="Georgia" w:hAnsi="Georgia"/>
          <w:iCs/>
        </w:rPr>
        <w:t xml:space="preserve"> to you.</w:t>
      </w:r>
      <w:r>
        <w:rPr>
          <w:rFonts w:ascii="Georgia" w:hAnsi="Georgia"/>
          <w:iCs/>
        </w:rPr>
        <w:t xml:space="preserve"> </w:t>
      </w:r>
      <w:r>
        <w:rPr>
          <w:rFonts w:ascii="Georgia" w:eastAsiaTheme="minorHAnsi" w:hAnsi="Georgia" w:cs="Georgia"/>
          <w:color w:val="000000"/>
        </w:rPr>
        <w:t>Below you will find additional information related to our conflicts of interest. This information is not intended to be an all-inclusive list of our conflicts, but generally describes those conflicts that are material to your brokerage relationship. In addition to this disclosure, conflicts of interest are disclosed to you in your account agreement(s) and disclosure documents, our product guides and other information we make available to you.</w:t>
      </w:r>
    </w:p>
    <w:p w14:paraId="259D3676" w14:textId="77777777" w:rsidR="001678E2" w:rsidRDefault="001678E2" w:rsidP="001678E2">
      <w:pPr>
        <w:widowControl/>
        <w:adjustRightInd w:val="0"/>
        <w:rPr>
          <w:rFonts w:ascii="Georgia" w:eastAsiaTheme="minorHAnsi" w:hAnsi="Georgia" w:cs="Georgia"/>
          <w:color w:val="000000"/>
          <w:sz w:val="20"/>
          <w:szCs w:val="20"/>
        </w:rPr>
      </w:pPr>
    </w:p>
    <w:tbl>
      <w:tblPr>
        <w:tblStyle w:val="TableGrid"/>
        <w:tblW w:w="0" w:type="auto"/>
        <w:tblLook w:val="04A0" w:firstRow="1" w:lastRow="0" w:firstColumn="1" w:lastColumn="0" w:noHBand="0" w:noVBand="1"/>
      </w:tblPr>
      <w:tblGrid>
        <w:gridCol w:w="9350"/>
      </w:tblGrid>
      <w:tr w:rsidR="001678E2" w14:paraId="5FD3E9E6" w14:textId="77777777" w:rsidTr="005546CB">
        <w:tc>
          <w:tcPr>
            <w:tcW w:w="9920" w:type="dxa"/>
            <w:shd w:val="clear" w:color="auto" w:fill="000000" w:themeFill="text1"/>
          </w:tcPr>
          <w:p w14:paraId="1B3F20A4" w14:textId="77777777" w:rsidR="001678E2" w:rsidRPr="001067C7" w:rsidRDefault="001678E2" w:rsidP="005546CB">
            <w:pPr>
              <w:pStyle w:val="BodyText"/>
              <w:kinsoku w:val="0"/>
              <w:overflowPunct w:val="0"/>
              <w:rPr>
                <w:rFonts w:ascii="Georgia" w:hAnsi="Georgia"/>
                <w:b/>
                <w:bCs/>
                <w:sz w:val="22"/>
                <w:szCs w:val="22"/>
              </w:rPr>
            </w:pPr>
            <w:r w:rsidRPr="001067C7">
              <w:rPr>
                <w:rFonts w:ascii="Georgia" w:hAnsi="Georgia"/>
                <w:b/>
                <w:bCs/>
                <w:sz w:val="22"/>
                <w:szCs w:val="22"/>
              </w:rPr>
              <w:t xml:space="preserve">Compensation We Receive </w:t>
            </w:r>
            <w:proofErr w:type="gramStart"/>
            <w:r w:rsidRPr="001067C7">
              <w:rPr>
                <w:rFonts w:ascii="Georgia" w:hAnsi="Georgia"/>
                <w:b/>
                <w:bCs/>
                <w:sz w:val="22"/>
                <w:szCs w:val="22"/>
              </w:rPr>
              <w:t>From</w:t>
            </w:r>
            <w:proofErr w:type="gramEnd"/>
            <w:r w:rsidRPr="001067C7">
              <w:rPr>
                <w:rFonts w:ascii="Georgia" w:hAnsi="Georgia"/>
                <w:b/>
                <w:bCs/>
                <w:sz w:val="22"/>
                <w:szCs w:val="22"/>
              </w:rPr>
              <w:t xml:space="preserve"> Clients</w:t>
            </w:r>
          </w:p>
        </w:tc>
      </w:tr>
    </w:tbl>
    <w:p w14:paraId="5FC110D7" w14:textId="77777777" w:rsidR="001678E2" w:rsidRDefault="001678E2" w:rsidP="001678E2">
      <w:pPr>
        <w:pStyle w:val="BodyText"/>
        <w:kinsoku w:val="0"/>
        <w:overflowPunct w:val="0"/>
        <w:ind w:right="181"/>
        <w:rPr>
          <w:rFonts w:ascii="Georgia" w:hAnsi="Georgia" w:cs="Times New Roman"/>
          <w:b/>
        </w:rPr>
      </w:pPr>
    </w:p>
    <w:p w14:paraId="0CB004B7" w14:textId="77777777" w:rsidR="001678E2" w:rsidRDefault="001678E2" w:rsidP="001678E2">
      <w:pPr>
        <w:pStyle w:val="BodyText"/>
        <w:kinsoku w:val="0"/>
        <w:overflowPunct w:val="0"/>
        <w:ind w:right="181"/>
        <w:rPr>
          <w:rFonts w:ascii="Georgia" w:hAnsi="Georgia" w:cs="Times New Roman"/>
          <w:b/>
        </w:rPr>
      </w:pPr>
      <w:r>
        <w:rPr>
          <w:rFonts w:ascii="Georgia" w:hAnsi="Georgia" w:cs="Times New Roman"/>
          <w:b/>
        </w:rPr>
        <w:t>Transaction-based conflicts</w:t>
      </w:r>
    </w:p>
    <w:p w14:paraId="57B19694" w14:textId="77777777" w:rsidR="001678E2" w:rsidRPr="00C80BD2" w:rsidRDefault="001678E2" w:rsidP="001678E2">
      <w:pPr>
        <w:pStyle w:val="BodyText"/>
        <w:kinsoku w:val="0"/>
        <w:overflowPunct w:val="0"/>
        <w:ind w:right="181"/>
        <w:rPr>
          <w:rFonts w:ascii="Georgia" w:hAnsi="Georgia"/>
        </w:rPr>
      </w:pPr>
      <w:r w:rsidRPr="00C80BD2">
        <w:rPr>
          <w:rFonts w:ascii="Georgia" w:hAnsi="Georgia" w:cs="Times New Roman"/>
        </w:rPr>
        <w:t>In your brokerage account</w:t>
      </w:r>
      <w:r>
        <w:rPr>
          <w:rFonts w:ascii="Georgia" w:hAnsi="Georgia" w:cs="Times New Roman"/>
        </w:rPr>
        <w:t xml:space="preserve"> y</w:t>
      </w:r>
      <w:r w:rsidRPr="00C80BD2">
        <w:rPr>
          <w:rFonts w:ascii="Georgia" w:hAnsi="Georgia" w:cs="Times New Roman"/>
        </w:rPr>
        <w:t xml:space="preserve">ou pay certain fees (commissions and sales charges) </w:t>
      </w:r>
      <w:r w:rsidRPr="00C80BD2">
        <w:rPr>
          <w:rFonts w:ascii="Georgia" w:hAnsi="Georgia"/>
        </w:rPr>
        <w:t xml:space="preserve">in connection with </w:t>
      </w:r>
      <w:r>
        <w:rPr>
          <w:rFonts w:ascii="Georgia" w:hAnsi="Georgia"/>
        </w:rPr>
        <w:t xml:space="preserve">the </w:t>
      </w:r>
      <w:r w:rsidRPr="00C80BD2">
        <w:rPr>
          <w:rFonts w:ascii="Georgia" w:hAnsi="Georgia"/>
        </w:rPr>
        <w:t xml:space="preserve">buying and selling of each investment product, including mutual funds, variable annuities, exchange traded funds, equity securities, and bonds. Where these fees apply, the more transactions you </w:t>
      </w:r>
      <w:proofErr w:type="gramStart"/>
      <w:r w:rsidRPr="00C80BD2">
        <w:rPr>
          <w:rFonts w:ascii="Georgia" w:hAnsi="Georgia"/>
        </w:rPr>
        <w:t>enter into</w:t>
      </w:r>
      <w:proofErr w:type="gramEnd"/>
      <w:r w:rsidRPr="00C80BD2">
        <w:rPr>
          <w:rFonts w:ascii="Georgia" w:hAnsi="Georgia"/>
        </w:rPr>
        <w:t>, the more compensation that we and your financial advisor receive. This compensation creates an incentive for us to recommend that you buy and sell, rather than hold, these investments.</w:t>
      </w:r>
      <w:r>
        <w:rPr>
          <w:rFonts w:ascii="Georgia" w:hAnsi="Georgia"/>
        </w:rPr>
        <w:t xml:space="preserve"> World does not follow this industry practice. </w:t>
      </w:r>
      <w:r w:rsidRPr="00C80BD2">
        <w:rPr>
          <w:rFonts w:ascii="Georgia" w:hAnsi="Georgia"/>
        </w:rPr>
        <w:t xml:space="preserve"> We also have an incentive to recommend that you purchase investment products that carry higher fees,</w:t>
      </w:r>
      <w:r>
        <w:rPr>
          <w:rFonts w:ascii="Georgia" w:hAnsi="Georgia"/>
        </w:rPr>
        <w:t xml:space="preserve"> instead of product</w:t>
      </w:r>
      <w:r w:rsidRPr="00C80BD2">
        <w:rPr>
          <w:rFonts w:ascii="Georgia" w:hAnsi="Georgia"/>
        </w:rPr>
        <w:t>s that carry lower fees or no fees at all.</w:t>
      </w:r>
      <w:r>
        <w:rPr>
          <w:rFonts w:ascii="Georgia" w:hAnsi="Georgia"/>
        </w:rPr>
        <w:t xml:space="preserve">  World does not follow this </w:t>
      </w:r>
      <w:proofErr w:type="gramStart"/>
      <w:r>
        <w:rPr>
          <w:rFonts w:ascii="Georgia" w:hAnsi="Georgia"/>
        </w:rPr>
        <w:t>industry  practice</w:t>
      </w:r>
      <w:proofErr w:type="gramEnd"/>
      <w:r>
        <w:rPr>
          <w:rFonts w:ascii="Georgia" w:hAnsi="Georgia"/>
        </w:rPr>
        <w:t>.</w:t>
      </w:r>
    </w:p>
    <w:p w14:paraId="52EA8B26" w14:textId="77777777" w:rsidR="001678E2" w:rsidRPr="007F6B81" w:rsidRDefault="001678E2" w:rsidP="001678E2">
      <w:pPr>
        <w:pStyle w:val="Default"/>
        <w:ind w:left="120"/>
        <w:rPr>
          <w:rFonts w:ascii="Georgia" w:eastAsia="Arial" w:hAnsi="Georgia" w:cs="Arial"/>
          <w:bCs/>
          <w:color w:val="auto"/>
          <w:sz w:val="20"/>
          <w:szCs w:val="20"/>
        </w:rPr>
      </w:pPr>
    </w:p>
    <w:p w14:paraId="0AE9136A" w14:textId="77777777" w:rsidR="001678E2" w:rsidRDefault="001678E2" w:rsidP="001678E2">
      <w:pPr>
        <w:widowControl/>
        <w:adjustRightInd w:val="0"/>
        <w:rPr>
          <w:rFonts w:ascii="Georgia" w:eastAsiaTheme="minorHAnsi" w:hAnsi="Georgia" w:cs="Georgia"/>
          <w:b/>
          <w:bCs/>
          <w:color w:val="000000"/>
          <w:sz w:val="20"/>
          <w:szCs w:val="20"/>
        </w:rPr>
      </w:pPr>
      <w:r w:rsidRPr="00C80BD2">
        <w:rPr>
          <w:rFonts w:ascii="Georgia" w:eastAsiaTheme="minorHAnsi" w:hAnsi="Georgia" w:cs="Georgia"/>
          <w:b/>
          <w:bCs/>
          <w:color w:val="000000"/>
          <w:sz w:val="20"/>
          <w:szCs w:val="20"/>
        </w:rPr>
        <w:t xml:space="preserve">Markups and </w:t>
      </w:r>
      <w:r>
        <w:rPr>
          <w:rFonts w:ascii="Georgia" w:eastAsiaTheme="minorHAnsi" w:hAnsi="Georgia" w:cs="Georgia"/>
          <w:b/>
          <w:bCs/>
          <w:color w:val="000000"/>
          <w:sz w:val="20"/>
          <w:szCs w:val="20"/>
        </w:rPr>
        <w:t>m</w:t>
      </w:r>
      <w:r w:rsidRPr="00C80BD2">
        <w:rPr>
          <w:rFonts w:ascii="Georgia" w:eastAsiaTheme="minorHAnsi" w:hAnsi="Georgia" w:cs="Georgia"/>
          <w:b/>
          <w:bCs/>
          <w:color w:val="000000"/>
          <w:sz w:val="20"/>
          <w:szCs w:val="20"/>
        </w:rPr>
        <w:t xml:space="preserve">arkdowns for </w:t>
      </w:r>
      <w:r>
        <w:rPr>
          <w:rFonts w:ascii="Georgia" w:eastAsiaTheme="minorHAnsi" w:hAnsi="Georgia" w:cs="Georgia"/>
          <w:b/>
          <w:bCs/>
          <w:color w:val="000000"/>
          <w:sz w:val="20"/>
          <w:szCs w:val="20"/>
        </w:rPr>
        <w:t>p</w:t>
      </w:r>
      <w:r w:rsidRPr="00C80BD2">
        <w:rPr>
          <w:rFonts w:ascii="Georgia" w:eastAsiaTheme="minorHAnsi" w:hAnsi="Georgia" w:cs="Georgia"/>
          <w:b/>
          <w:bCs/>
          <w:color w:val="000000"/>
          <w:sz w:val="20"/>
          <w:szCs w:val="20"/>
        </w:rPr>
        <w:t xml:space="preserve">rincipal </w:t>
      </w:r>
      <w:r>
        <w:rPr>
          <w:rFonts w:ascii="Georgia" w:eastAsiaTheme="minorHAnsi" w:hAnsi="Georgia" w:cs="Georgia"/>
          <w:b/>
          <w:bCs/>
          <w:color w:val="000000"/>
          <w:sz w:val="20"/>
          <w:szCs w:val="20"/>
        </w:rPr>
        <w:t>t</w:t>
      </w:r>
      <w:r w:rsidRPr="00C80BD2">
        <w:rPr>
          <w:rFonts w:ascii="Georgia" w:eastAsiaTheme="minorHAnsi" w:hAnsi="Georgia" w:cs="Georgia"/>
          <w:b/>
          <w:bCs/>
          <w:color w:val="000000"/>
          <w:sz w:val="20"/>
          <w:szCs w:val="20"/>
        </w:rPr>
        <w:t>ransactions</w:t>
      </w:r>
    </w:p>
    <w:p w14:paraId="2A9A7E7C" w14:textId="18031C80" w:rsidR="001678E2" w:rsidRDefault="001678E2" w:rsidP="001678E2">
      <w:pPr>
        <w:widowControl/>
        <w:adjustRightInd w:val="0"/>
        <w:rPr>
          <w:rFonts w:ascii="Georgia" w:eastAsiaTheme="minorHAnsi" w:hAnsi="Georgia" w:cs="Georgia"/>
          <w:color w:val="000000"/>
          <w:sz w:val="20"/>
          <w:szCs w:val="20"/>
        </w:rPr>
      </w:pPr>
      <w:r w:rsidRPr="00C80BD2">
        <w:rPr>
          <w:rFonts w:ascii="Georgia" w:eastAsiaTheme="minorHAnsi" w:hAnsi="Georgia" w:cs="Georgia"/>
          <w:color w:val="000000"/>
          <w:sz w:val="20"/>
          <w:szCs w:val="20"/>
        </w:rPr>
        <w:t xml:space="preserve">When you buy or sell securities in a brokerage </w:t>
      </w:r>
      <w:r>
        <w:rPr>
          <w:rFonts w:ascii="Georgia" w:eastAsiaTheme="minorHAnsi" w:hAnsi="Georgia" w:cs="Georgia"/>
          <w:color w:val="000000"/>
          <w:sz w:val="20"/>
          <w:szCs w:val="20"/>
        </w:rPr>
        <w:t>account</w:t>
      </w:r>
      <w:r w:rsidRPr="00C80BD2">
        <w:rPr>
          <w:rFonts w:ascii="Georgia" w:eastAsiaTheme="minorHAnsi" w:hAnsi="Georgia" w:cs="Georgia"/>
          <w:color w:val="000000"/>
          <w:sz w:val="20"/>
          <w:szCs w:val="20"/>
        </w:rPr>
        <w:t>, and in accordance with industry regulations, we may impose a markup (increase) or markdown (decrease) in the price of transactions we execute on a principal basis</w:t>
      </w:r>
      <w:r>
        <w:rPr>
          <w:rFonts w:ascii="Georgia" w:eastAsiaTheme="minorHAnsi" w:hAnsi="Georgia" w:cs="Georgia"/>
          <w:color w:val="000000"/>
          <w:sz w:val="20"/>
          <w:szCs w:val="20"/>
        </w:rPr>
        <w:t>. W</w:t>
      </w:r>
      <w:r w:rsidRPr="00C80BD2">
        <w:rPr>
          <w:rFonts w:ascii="Georgia" w:eastAsiaTheme="minorHAnsi" w:hAnsi="Georgia" w:cs="Georgia"/>
          <w:color w:val="000000"/>
          <w:sz w:val="20"/>
          <w:szCs w:val="20"/>
        </w:rPr>
        <w:t xml:space="preserve">e are compensated based upon the difference (markup) between the price you pay for securities purchased from us and the price we sell such securities to you over the prevailing market price, or the difference (markdown) between the price you sell securities to us and the price we purchase such securities from you over the prevailing market price. We maintain policies and procedures reasonably designed to help ensure compliance with the markup and markdown industry rules. </w:t>
      </w:r>
      <w:r>
        <w:rPr>
          <w:rFonts w:ascii="Georgia" w:eastAsiaTheme="minorHAnsi" w:hAnsi="Georgia" w:cs="Georgia"/>
          <w:color w:val="000000"/>
          <w:sz w:val="20"/>
          <w:szCs w:val="20"/>
        </w:rPr>
        <w:t xml:space="preserve">  Per industry regulations, any such markup or markdown is clearly identified on a customer confirmation as well as the percentage of total markup or markdown as a percentage of the total transaction.</w:t>
      </w:r>
    </w:p>
    <w:p w14:paraId="4A691565" w14:textId="77777777" w:rsidR="001678E2" w:rsidRDefault="001678E2" w:rsidP="001678E2">
      <w:pPr>
        <w:widowControl/>
        <w:adjustRightInd w:val="0"/>
        <w:rPr>
          <w:rFonts w:ascii="Georgia" w:eastAsiaTheme="minorHAnsi" w:hAnsi="Georgia" w:cs="Georgia"/>
          <w:color w:val="000000"/>
          <w:sz w:val="20"/>
          <w:szCs w:val="20"/>
        </w:rPr>
      </w:pPr>
    </w:p>
    <w:p w14:paraId="03F31EA3" w14:textId="77777777" w:rsidR="001678E2" w:rsidRDefault="001678E2" w:rsidP="001678E2">
      <w:pPr>
        <w:pStyle w:val="BodyText"/>
        <w:kinsoku w:val="0"/>
        <w:overflowPunct w:val="0"/>
        <w:ind w:right="181"/>
        <w:rPr>
          <w:rFonts w:ascii="Georgia" w:hAnsi="Georgia" w:cs="Times New Roman"/>
          <w:b/>
        </w:rPr>
      </w:pPr>
    </w:p>
    <w:p w14:paraId="20EB008C" w14:textId="77777777" w:rsidR="001678E2" w:rsidRDefault="001678E2" w:rsidP="001678E2">
      <w:pPr>
        <w:widowControl/>
        <w:adjustRightInd w:val="0"/>
        <w:rPr>
          <w:rFonts w:ascii="Georgia" w:eastAsiaTheme="minorHAnsi" w:hAnsi="Georgia" w:cs="Georgia"/>
          <w:b/>
          <w:bCs/>
          <w:iCs/>
          <w:color w:val="000000"/>
          <w:sz w:val="20"/>
          <w:szCs w:val="20"/>
        </w:rPr>
      </w:pPr>
      <w:r w:rsidRPr="00C80BD2">
        <w:rPr>
          <w:rFonts w:ascii="Georgia" w:eastAsiaTheme="minorHAnsi" w:hAnsi="Georgia" w:cs="Georgia"/>
          <w:b/>
          <w:bCs/>
          <w:iCs/>
          <w:color w:val="000000"/>
          <w:sz w:val="20"/>
          <w:szCs w:val="20"/>
        </w:rPr>
        <w:lastRenderedPageBreak/>
        <w:t xml:space="preserve">Account </w:t>
      </w:r>
      <w:r>
        <w:rPr>
          <w:rFonts w:ascii="Georgia" w:eastAsiaTheme="minorHAnsi" w:hAnsi="Georgia" w:cs="Georgia"/>
          <w:b/>
          <w:bCs/>
          <w:iCs/>
          <w:color w:val="000000"/>
          <w:sz w:val="20"/>
          <w:szCs w:val="20"/>
        </w:rPr>
        <w:t>m</w:t>
      </w:r>
      <w:r w:rsidRPr="00C80BD2">
        <w:rPr>
          <w:rFonts w:ascii="Georgia" w:eastAsiaTheme="minorHAnsi" w:hAnsi="Georgia" w:cs="Georgia"/>
          <w:b/>
          <w:bCs/>
          <w:iCs/>
          <w:color w:val="000000"/>
          <w:sz w:val="20"/>
          <w:szCs w:val="20"/>
        </w:rPr>
        <w:t xml:space="preserve">aintenance and </w:t>
      </w:r>
      <w:r>
        <w:rPr>
          <w:rFonts w:ascii="Georgia" w:eastAsiaTheme="minorHAnsi" w:hAnsi="Georgia" w:cs="Georgia"/>
          <w:b/>
          <w:bCs/>
          <w:iCs/>
          <w:color w:val="000000"/>
          <w:sz w:val="20"/>
          <w:szCs w:val="20"/>
        </w:rPr>
        <w:t>o</w:t>
      </w:r>
      <w:r w:rsidRPr="00C80BD2">
        <w:rPr>
          <w:rFonts w:ascii="Georgia" w:eastAsiaTheme="minorHAnsi" w:hAnsi="Georgia" w:cs="Georgia"/>
          <w:b/>
          <w:bCs/>
          <w:iCs/>
          <w:color w:val="000000"/>
          <w:sz w:val="20"/>
          <w:szCs w:val="20"/>
        </w:rPr>
        <w:t xml:space="preserve">ther </w:t>
      </w:r>
      <w:r>
        <w:rPr>
          <w:rFonts w:ascii="Georgia" w:eastAsiaTheme="minorHAnsi" w:hAnsi="Georgia" w:cs="Georgia"/>
          <w:b/>
          <w:bCs/>
          <w:iCs/>
          <w:color w:val="000000"/>
          <w:sz w:val="20"/>
          <w:szCs w:val="20"/>
        </w:rPr>
        <w:t>a</w:t>
      </w:r>
      <w:r w:rsidRPr="00C80BD2">
        <w:rPr>
          <w:rFonts w:ascii="Georgia" w:eastAsiaTheme="minorHAnsi" w:hAnsi="Georgia" w:cs="Georgia"/>
          <w:b/>
          <w:bCs/>
          <w:iCs/>
          <w:color w:val="000000"/>
          <w:sz w:val="20"/>
          <w:szCs w:val="20"/>
        </w:rPr>
        <w:t xml:space="preserve">dministrative </w:t>
      </w:r>
      <w:r>
        <w:rPr>
          <w:rFonts w:ascii="Georgia" w:eastAsiaTheme="minorHAnsi" w:hAnsi="Georgia" w:cs="Georgia"/>
          <w:b/>
          <w:bCs/>
          <w:iCs/>
          <w:color w:val="000000"/>
          <w:sz w:val="20"/>
          <w:szCs w:val="20"/>
        </w:rPr>
        <w:t>f</w:t>
      </w:r>
      <w:r w:rsidRPr="00C80BD2">
        <w:rPr>
          <w:rFonts w:ascii="Georgia" w:eastAsiaTheme="minorHAnsi" w:hAnsi="Georgia" w:cs="Georgia"/>
          <w:b/>
          <w:bCs/>
          <w:iCs/>
          <w:color w:val="000000"/>
          <w:sz w:val="20"/>
          <w:szCs w:val="20"/>
        </w:rPr>
        <w:t>ees</w:t>
      </w:r>
    </w:p>
    <w:p w14:paraId="7280D093" w14:textId="77777777" w:rsidR="001678E2" w:rsidRPr="00C80BD2" w:rsidRDefault="001678E2" w:rsidP="001678E2">
      <w:pPr>
        <w:widowControl/>
        <w:adjustRightInd w:val="0"/>
        <w:rPr>
          <w:rFonts w:ascii="Georgia" w:eastAsiaTheme="minorHAnsi" w:hAnsi="Georgia" w:cs="Georgia"/>
          <w:color w:val="000000"/>
          <w:sz w:val="20"/>
          <w:szCs w:val="20"/>
        </w:rPr>
      </w:pPr>
      <w:r w:rsidRPr="00C80BD2">
        <w:rPr>
          <w:rFonts w:ascii="Georgia" w:eastAsiaTheme="minorHAnsi" w:hAnsi="Georgia" w:cs="Georgia"/>
          <w:color w:val="000000"/>
          <w:sz w:val="20"/>
          <w:szCs w:val="20"/>
        </w:rPr>
        <w:t xml:space="preserve">For the services we provide or make available to you with respect to your </w:t>
      </w:r>
      <w:r>
        <w:rPr>
          <w:rFonts w:ascii="Georgia" w:eastAsiaTheme="minorHAnsi" w:hAnsi="Georgia" w:cs="Georgia"/>
          <w:color w:val="000000"/>
          <w:sz w:val="20"/>
          <w:szCs w:val="20"/>
        </w:rPr>
        <w:t>brokerage account</w:t>
      </w:r>
      <w:r w:rsidRPr="00C80BD2">
        <w:rPr>
          <w:rFonts w:ascii="Georgia" w:eastAsiaTheme="minorHAnsi" w:hAnsi="Georgia" w:cs="Georgia"/>
          <w:color w:val="000000"/>
          <w:sz w:val="20"/>
          <w:szCs w:val="20"/>
        </w:rPr>
        <w:t xml:space="preserve">, we charge certain account maintenance and other administrative fees, including transfer, wire, or other miscellaneous fees, as described in the fee schedule provided to you on an annual basis. </w:t>
      </w:r>
      <w:r>
        <w:rPr>
          <w:rFonts w:ascii="Georgia" w:eastAsiaTheme="minorHAnsi" w:hAnsi="Georgia" w:cs="Georgia"/>
          <w:color w:val="000000"/>
          <w:sz w:val="20"/>
          <w:szCs w:val="20"/>
        </w:rPr>
        <w:t>The higher the fees we charge, the more we are compensated.   World does not charge these fees.  They are contracted fees charged by our clearing agent.</w:t>
      </w:r>
    </w:p>
    <w:p w14:paraId="52CE8FD0" w14:textId="77777777" w:rsidR="001678E2" w:rsidRDefault="001678E2" w:rsidP="001678E2">
      <w:pPr>
        <w:widowControl/>
        <w:adjustRightInd w:val="0"/>
        <w:rPr>
          <w:rFonts w:ascii="Georgia" w:eastAsiaTheme="minorHAnsi" w:hAnsi="Georgia" w:cs="Georgia"/>
          <w:b/>
          <w:bCs/>
          <w:i/>
          <w:iCs/>
          <w:color w:val="000000"/>
          <w:sz w:val="20"/>
          <w:szCs w:val="20"/>
        </w:rPr>
      </w:pPr>
    </w:p>
    <w:p w14:paraId="596FF481" w14:textId="77777777" w:rsidR="001678E2" w:rsidRDefault="001678E2" w:rsidP="001678E2">
      <w:pPr>
        <w:widowControl/>
        <w:adjustRightInd w:val="0"/>
        <w:rPr>
          <w:rFonts w:ascii="Georgia" w:eastAsiaTheme="minorHAnsi" w:hAnsi="Georgia" w:cs="Georgia"/>
          <w:color w:val="000000"/>
          <w:sz w:val="20"/>
          <w:szCs w:val="20"/>
        </w:rPr>
      </w:pPr>
      <w:r w:rsidRPr="00F468FD">
        <w:rPr>
          <w:rFonts w:ascii="Georgia" w:eastAsiaTheme="minorHAnsi" w:hAnsi="Georgia" w:cs="Georgia"/>
          <w:color w:val="000000"/>
          <w:sz w:val="20"/>
          <w:szCs w:val="20"/>
        </w:rPr>
        <w:t xml:space="preserve"> </w:t>
      </w:r>
    </w:p>
    <w:p w14:paraId="3703DFD1" w14:textId="77777777" w:rsidR="001678E2" w:rsidRPr="00C80BD2" w:rsidRDefault="001678E2" w:rsidP="001678E2">
      <w:pPr>
        <w:widowControl/>
        <w:adjustRightInd w:val="0"/>
        <w:rPr>
          <w:rFonts w:ascii="Georgia" w:eastAsiaTheme="minorHAnsi" w:hAnsi="Georgia" w:cs="Georgia"/>
          <w:color w:val="000000"/>
          <w:sz w:val="20"/>
          <w:szCs w:val="20"/>
        </w:rPr>
      </w:pPr>
    </w:p>
    <w:tbl>
      <w:tblPr>
        <w:tblStyle w:val="TableGrid"/>
        <w:tblW w:w="0" w:type="auto"/>
        <w:tblLook w:val="04A0" w:firstRow="1" w:lastRow="0" w:firstColumn="1" w:lastColumn="0" w:noHBand="0" w:noVBand="1"/>
      </w:tblPr>
      <w:tblGrid>
        <w:gridCol w:w="9350"/>
      </w:tblGrid>
      <w:tr w:rsidR="001678E2" w14:paraId="74D24311" w14:textId="77777777" w:rsidTr="005546CB">
        <w:tc>
          <w:tcPr>
            <w:tcW w:w="9920" w:type="dxa"/>
            <w:shd w:val="clear" w:color="auto" w:fill="000000" w:themeFill="text1"/>
          </w:tcPr>
          <w:p w14:paraId="2AAE1E6F" w14:textId="77777777" w:rsidR="001678E2" w:rsidRPr="001067C7" w:rsidRDefault="001678E2" w:rsidP="005546CB">
            <w:pPr>
              <w:pStyle w:val="Default"/>
              <w:rPr>
                <w:rFonts w:ascii="Georgia" w:hAnsi="Georgia" w:cs="Georgia"/>
                <w:sz w:val="20"/>
                <w:szCs w:val="20"/>
              </w:rPr>
            </w:pPr>
            <w:r w:rsidRPr="001067C7">
              <w:rPr>
                <w:rFonts w:ascii="Georgia" w:hAnsi="Georgia"/>
                <w:b/>
                <w:bCs/>
                <w:color w:val="auto"/>
                <w:sz w:val="22"/>
                <w:szCs w:val="22"/>
              </w:rPr>
              <w:t>Compensation We Receive from Third Parties</w:t>
            </w:r>
          </w:p>
        </w:tc>
      </w:tr>
    </w:tbl>
    <w:p w14:paraId="4163CC9A" w14:textId="77777777" w:rsidR="001678E2" w:rsidRPr="00C80BD2" w:rsidRDefault="001678E2" w:rsidP="001678E2">
      <w:pPr>
        <w:pStyle w:val="Default"/>
        <w:ind w:left="120"/>
        <w:rPr>
          <w:rFonts w:ascii="Georgia" w:hAnsi="Georgia" w:cs="Georgia"/>
          <w:sz w:val="20"/>
          <w:szCs w:val="20"/>
        </w:rPr>
      </w:pPr>
    </w:p>
    <w:p w14:paraId="2CACF94D" w14:textId="77777777" w:rsidR="001678E2" w:rsidRPr="0076650E" w:rsidRDefault="001678E2" w:rsidP="001678E2">
      <w:pPr>
        <w:widowControl/>
        <w:adjustRightInd w:val="0"/>
        <w:rPr>
          <w:rFonts w:ascii="Georgia" w:eastAsiaTheme="minorHAnsi" w:hAnsi="Georgia" w:cs="Georgia"/>
          <w:color w:val="000000"/>
          <w:sz w:val="20"/>
          <w:szCs w:val="20"/>
        </w:rPr>
      </w:pPr>
    </w:p>
    <w:p w14:paraId="02E4D226" w14:textId="77777777" w:rsidR="001678E2" w:rsidRPr="0076650E" w:rsidRDefault="001678E2" w:rsidP="001678E2">
      <w:pPr>
        <w:widowControl/>
        <w:adjustRightInd w:val="0"/>
        <w:rPr>
          <w:rFonts w:ascii="Georgia" w:eastAsiaTheme="minorHAnsi" w:hAnsi="Georgia" w:cs="Georgia"/>
          <w:color w:val="000000"/>
          <w:sz w:val="20"/>
          <w:szCs w:val="20"/>
        </w:rPr>
      </w:pPr>
      <w:r w:rsidRPr="0076650E">
        <w:rPr>
          <w:rFonts w:ascii="Georgia" w:eastAsiaTheme="minorHAnsi" w:hAnsi="Georgia" w:cs="Georgia"/>
          <w:color w:val="000000"/>
          <w:sz w:val="20"/>
          <w:szCs w:val="20"/>
        </w:rPr>
        <w:t xml:space="preserve">Third-party payments </w:t>
      </w:r>
      <w:r>
        <w:rPr>
          <w:rFonts w:ascii="Georgia" w:eastAsiaTheme="minorHAnsi" w:hAnsi="Georgia" w:cs="Georgia"/>
          <w:color w:val="000000"/>
          <w:sz w:val="20"/>
          <w:szCs w:val="20"/>
        </w:rPr>
        <w:t xml:space="preserve">we receive </w:t>
      </w:r>
      <w:r w:rsidRPr="00F468FD">
        <w:rPr>
          <w:rFonts w:ascii="Georgia" w:eastAsiaTheme="minorHAnsi" w:hAnsi="Georgia" w:cs="Georgia"/>
          <w:color w:val="000000"/>
          <w:sz w:val="20"/>
          <w:szCs w:val="20"/>
        </w:rPr>
        <w:t>var</w:t>
      </w:r>
      <w:r>
        <w:rPr>
          <w:rFonts w:ascii="Georgia" w:eastAsiaTheme="minorHAnsi" w:hAnsi="Georgia" w:cs="Georgia"/>
          <w:color w:val="000000"/>
          <w:sz w:val="20"/>
          <w:szCs w:val="20"/>
        </w:rPr>
        <w:t>y</w:t>
      </w:r>
      <w:r w:rsidRPr="00F468FD">
        <w:rPr>
          <w:rFonts w:ascii="Georgia" w:eastAsiaTheme="minorHAnsi" w:hAnsi="Georgia" w:cs="Georgia"/>
          <w:color w:val="000000"/>
          <w:sz w:val="20"/>
          <w:szCs w:val="20"/>
        </w:rPr>
        <w:t xml:space="preserve"> from the compensation we receive in connection with other products and services we may make available to you. This compensation generally represents an expense embedded in the investment products and services that is borne by investors</w:t>
      </w:r>
      <w:r>
        <w:rPr>
          <w:rFonts w:ascii="Georgia" w:eastAsiaTheme="minorHAnsi" w:hAnsi="Georgia" w:cs="Georgia"/>
          <w:color w:val="000000"/>
          <w:sz w:val="20"/>
          <w:szCs w:val="20"/>
        </w:rPr>
        <w:t xml:space="preserve">. </w:t>
      </w:r>
      <w:r w:rsidRPr="0076650E">
        <w:rPr>
          <w:rFonts w:ascii="Georgia" w:eastAsiaTheme="minorHAnsi" w:hAnsi="Georgia" w:cs="Georgia"/>
          <w:color w:val="000000"/>
          <w:sz w:val="20"/>
          <w:szCs w:val="20"/>
        </w:rPr>
        <w:t xml:space="preserve">The types of third-party compensation we receive include: </w:t>
      </w:r>
    </w:p>
    <w:p w14:paraId="1F5EA0BF" w14:textId="77777777" w:rsidR="001678E2" w:rsidRPr="0076650E" w:rsidRDefault="001678E2" w:rsidP="001678E2">
      <w:pPr>
        <w:widowControl/>
        <w:adjustRightInd w:val="0"/>
        <w:rPr>
          <w:rFonts w:ascii="Georgia" w:eastAsiaTheme="minorHAnsi" w:hAnsi="Georgia" w:cs="Georgia"/>
          <w:color w:val="000000"/>
          <w:sz w:val="20"/>
          <w:szCs w:val="20"/>
        </w:rPr>
      </w:pPr>
    </w:p>
    <w:p w14:paraId="0C4987EC" w14:textId="77777777" w:rsidR="001678E2" w:rsidRPr="00FF1185" w:rsidRDefault="001678E2" w:rsidP="001678E2">
      <w:pPr>
        <w:widowControl/>
        <w:adjustRightInd w:val="0"/>
        <w:rPr>
          <w:rFonts w:ascii="Georgia" w:eastAsiaTheme="minorHAnsi" w:hAnsi="Georgia" w:cs="Georgia"/>
          <w:sz w:val="18"/>
          <w:szCs w:val="18"/>
        </w:rPr>
      </w:pPr>
      <w:r w:rsidRPr="003116CF">
        <w:rPr>
          <w:rFonts w:ascii="Georgia" w:eastAsiaTheme="minorHAnsi" w:hAnsi="Georgia" w:cs="Georgia"/>
          <w:b/>
          <w:bCs/>
          <w:color w:val="000000"/>
          <w:sz w:val="20"/>
          <w:szCs w:val="20"/>
        </w:rPr>
        <w:t xml:space="preserve">Revenue Sharing. </w:t>
      </w:r>
      <w:r>
        <w:rPr>
          <w:rFonts w:ascii="Georgia" w:eastAsiaTheme="minorHAnsi" w:hAnsi="Georgia" w:cs="Georgia"/>
          <w:sz w:val="18"/>
          <w:szCs w:val="18"/>
        </w:rPr>
        <w:t xml:space="preserve">Wells Fargo Bank, the parent company of First Clearing LLC. is the bank of record for all FDIC deposits.  Depending on the interest rate environment, First Clearing LLC through its parent shares a designated portion of interest on all FDIC balances.  Through its extremely large network, in compliance with Federal Reserve Board regulations, Wells Fargo </w:t>
      </w:r>
      <w:proofErr w:type="gramStart"/>
      <w:r>
        <w:rPr>
          <w:rFonts w:ascii="Georgia" w:eastAsiaTheme="minorHAnsi" w:hAnsi="Georgia" w:cs="Georgia"/>
          <w:sz w:val="18"/>
          <w:szCs w:val="18"/>
        </w:rPr>
        <w:t>is able to</w:t>
      </w:r>
      <w:proofErr w:type="gramEnd"/>
      <w:r>
        <w:rPr>
          <w:rFonts w:ascii="Georgia" w:eastAsiaTheme="minorHAnsi" w:hAnsi="Georgia" w:cs="Georgia"/>
          <w:sz w:val="18"/>
          <w:szCs w:val="18"/>
        </w:rPr>
        <w:t xml:space="preserve"> offer FDIC insurance on each account with a FDIC balance up to $750,000 per account. Normal FDIC insurance at a standard bank is only $250,000 per account.</w:t>
      </w:r>
    </w:p>
    <w:p w14:paraId="7BF02C9E" w14:textId="77777777" w:rsidR="001678E2" w:rsidRPr="003116CF" w:rsidRDefault="001678E2" w:rsidP="001678E2">
      <w:pPr>
        <w:pStyle w:val="ListParagraph"/>
        <w:widowControl/>
        <w:numPr>
          <w:ilvl w:val="0"/>
          <w:numId w:val="2"/>
        </w:numPr>
        <w:adjustRightInd w:val="0"/>
        <w:rPr>
          <w:rFonts w:ascii="Georgia" w:hAnsi="Georgia" w:cs="Georgia"/>
          <w:sz w:val="20"/>
          <w:szCs w:val="20"/>
        </w:rPr>
      </w:pPr>
    </w:p>
    <w:p w14:paraId="47EC98F7" w14:textId="77777777" w:rsidR="001678E2" w:rsidRPr="0076650E" w:rsidRDefault="001678E2" w:rsidP="001678E2">
      <w:pPr>
        <w:pStyle w:val="Default"/>
        <w:numPr>
          <w:ilvl w:val="0"/>
          <w:numId w:val="2"/>
        </w:numPr>
        <w:rPr>
          <w:rFonts w:ascii="Georgia" w:hAnsi="Georgia" w:cs="Georgia"/>
          <w:sz w:val="20"/>
          <w:szCs w:val="20"/>
        </w:rPr>
      </w:pPr>
      <w:r w:rsidRPr="0076650E">
        <w:rPr>
          <w:rFonts w:ascii="Georgia" w:hAnsi="Georgia" w:cs="Georgia"/>
          <w:b/>
          <w:bCs/>
          <w:sz w:val="20"/>
          <w:szCs w:val="20"/>
        </w:rPr>
        <w:t xml:space="preserve">Trail Compensation. </w:t>
      </w:r>
      <w:r w:rsidRPr="0076650E">
        <w:rPr>
          <w:rFonts w:ascii="Georgia" w:hAnsi="Georgia" w:cs="Georgia"/>
          <w:sz w:val="20"/>
          <w:szCs w:val="20"/>
        </w:rPr>
        <w:t>Ongoing compensation from Product Sponsors may be received by us and shared with our financial advisors. This compensation (commonly known as trails, service fees or Rule 12b-1 fees in the case of mutual funds) is typically paid from the assets of the investment product under a distribution or servicing arrangement and is calculated as an annual percentage of invested assets. The amount of this compensation varies from product to product. We have an incentive to recommend that you purchase and hold interests in products that pay us higher trails.</w:t>
      </w:r>
      <w:r>
        <w:rPr>
          <w:rFonts w:ascii="Georgia" w:hAnsi="Georgia" w:cs="Georgia"/>
          <w:sz w:val="20"/>
          <w:szCs w:val="20"/>
        </w:rPr>
        <w:t xml:space="preserve">  World does not engage in the recommendation of mutual funds based on product compensation.</w:t>
      </w:r>
    </w:p>
    <w:p w14:paraId="5AB52767" w14:textId="77777777" w:rsidR="001678E2" w:rsidRPr="0076650E" w:rsidRDefault="001678E2" w:rsidP="001678E2">
      <w:pPr>
        <w:pStyle w:val="Default"/>
        <w:ind w:left="120"/>
        <w:rPr>
          <w:rFonts w:ascii="Georgia" w:hAnsi="Georgia" w:cs="Georgia"/>
          <w:sz w:val="20"/>
          <w:szCs w:val="20"/>
        </w:rPr>
      </w:pPr>
    </w:p>
    <w:p w14:paraId="72B574EE" w14:textId="77777777" w:rsidR="001678E2" w:rsidRPr="0076650E" w:rsidRDefault="001678E2" w:rsidP="001678E2">
      <w:pPr>
        <w:widowControl/>
        <w:adjustRightInd w:val="0"/>
        <w:rPr>
          <w:rFonts w:ascii="Georgia" w:eastAsiaTheme="minorHAnsi" w:hAnsi="Georgia" w:cs="Georgia"/>
          <w:b/>
          <w:bCs/>
          <w:color w:val="000000"/>
          <w:sz w:val="20"/>
          <w:szCs w:val="20"/>
        </w:rPr>
      </w:pPr>
    </w:p>
    <w:p w14:paraId="3653B87C" w14:textId="77777777" w:rsidR="001678E2" w:rsidRPr="0076650E" w:rsidRDefault="001678E2" w:rsidP="001678E2">
      <w:pPr>
        <w:widowControl/>
        <w:adjustRightInd w:val="0"/>
        <w:rPr>
          <w:rFonts w:ascii="Georgia" w:eastAsiaTheme="minorHAnsi" w:hAnsi="Georgia" w:cs="Georgia"/>
          <w:b/>
          <w:bCs/>
          <w:color w:val="000000"/>
          <w:sz w:val="20"/>
          <w:szCs w:val="20"/>
        </w:rPr>
      </w:pPr>
      <w:r w:rsidRPr="0076650E">
        <w:rPr>
          <w:rFonts w:ascii="Georgia" w:eastAsiaTheme="minorHAnsi" w:hAnsi="Georgia" w:cs="Georgia"/>
          <w:b/>
          <w:bCs/>
          <w:color w:val="000000"/>
          <w:sz w:val="20"/>
          <w:szCs w:val="20"/>
        </w:rPr>
        <w:t xml:space="preserve">Additional Compensation from Product Sponsors and Other Third Parties </w:t>
      </w:r>
    </w:p>
    <w:p w14:paraId="44D947C9" w14:textId="77777777" w:rsidR="001678E2" w:rsidRPr="0076650E" w:rsidRDefault="001678E2" w:rsidP="001678E2">
      <w:pPr>
        <w:widowControl/>
        <w:adjustRightInd w:val="0"/>
        <w:rPr>
          <w:rFonts w:ascii="Georgia" w:eastAsiaTheme="minorHAnsi" w:hAnsi="Georgia" w:cs="Georgia"/>
          <w:color w:val="000000"/>
          <w:sz w:val="20"/>
          <w:szCs w:val="20"/>
        </w:rPr>
      </w:pPr>
      <w:r w:rsidRPr="0076650E">
        <w:rPr>
          <w:rFonts w:ascii="Georgia" w:eastAsiaTheme="minorHAnsi" w:hAnsi="Georgia" w:cs="Georgia"/>
          <w:color w:val="000000"/>
          <w:sz w:val="20"/>
          <w:szCs w:val="20"/>
        </w:rPr>
        <w:t xml:space="preserve">We and our financial advisors, associates, employees, and agents </w:t>
      </w:r>
      <w:r>
        <w:rPr>
          <w:rFonts w:ascii="Georgia" w:eastAsiaTheme="minorHAnsi" w:hAnsi="Georgia" w:cs="Georgia"/>
          <w:color w:val="000000"/>
          <w:sz w:val="20"/>
          <w:szCs w:val="20"/>
        </w:rPr>
        <w:t xml:space="preserve">do not </w:t>
      </w:r>
      <w:r w:rsidRPr="0076650E">
        <w:rPr>
          <w:rFonts w:ascii="Georgia" w:eastAsiaTheme="minorHAnsi" w:hAnsi="Georgia" w:cs="Georgia"/>
          <w:color w:val="000000"/>
          <w:sz w:val="20"/>
          <w:szCs w:val="20"/>
        </w:rPr>
        <w:t xml:space="preserve">receive additional compensation from Product Sponsors and other third parties including: </w:t>
      </w:r>
    </w:p>
    <w:p w14:paraId="5EA3C295" w14:textId="77777777" w:rsidR="001678E2" w:rsidRPr="0076650E" w:rsidRDefault="001678E2" w:rsidP="001678E2">
      <w:pPr>
        <w:pStyle w:val="ListParagraph"/>
        <w:widowControl/>
        <w:numPr>
          <w:ilvl w:val="0"/>
          <w:numId w:val="3"/>
        </w:numPr>
        <w:adjustRightInd w:val="0"/>
        <w:rPr>
          <w:rFonts w:ascii="Georgia" w:eastAsiaTheme="minorHAnsi" w:hAnsi="Georgia" w:cs="Georgia"/>
          <w:color w:val="000000"/>
          <w:sz w:val="20"/>
          <w:szCs w:val="20"/>
        </w:rPr>
      </w:pPr>
      <w:r w:rsidRPr="0076650E">
        <w:rPr>
          <w:rFonts w:ascii="Georgia" w:eastAsiaTheme="minorHAnsi" w:hAnsi="Georgia" w:cs="Georgia"/>
          <w:color w:val="000000"/>
          <w:sz w:val="20"/>
          <w:szCs w:val="20"/>
        </w:rPr>
        <w:t xml:space="preserve">Gifts and awards, an occasional dinner or ticket to a sporting event, or reimbursement in connection with educational meetings or marketing or advertising initiatives, including services for identifying prospective clients. </w:t>
      </w:r>
    </w:p>
    <w:p w14:paraId="4B6CC2CB" w14:textId="77777777" w:rsidR="001678E2" w:rsidRPr="0076650E" w:rsidRDefault="001678E2" w:rsidP="001678E2">
      <w:pPr>
        <w:pStyle w:val="ListParagraph"/>
        <w:widowControl/>
        <w:numPr>
          <w:ilvl w:val="0"/>
          <w:numId w:val="3"/>
        </w:numPr>
        <w:adjustRightInd w:val="0"/>
        <w:rPr>
          <w:rFonts w:ascii="Georgia" w:eastAsiaTheme="minorHAnsi" w:hAnsi="Georgia" w:cs="Georgia"/>
          <w:color w:val="000000"/>
          <w:sz w:val="20"/>
          <w:szCs w:val="20"/>
        </w:rPr>
      </w:pPr>
      <w:r w:rsidRPr="0076650E">
        <w:rPr>
          <w:rFonts w:ascii="Georgia" w:eastAsiaTheme="minorHAnsi" w:hAnsi="Georgia" w:cs="Georgia"/>
          <w:color w:val="000000"/>
          <w:sz w:val="20"/>
          <w:szCs w:val="20"/>
        </w:rPr>
        <w:t xml:space="preserve">Payment or reimbursement for the costs associated with education or training events that are attended by our employees, agents, and financial advisors, and for conferences and events that we sponsor. </w:t>
      </w:r>
    </w:p>
    <w:p w14:paraId="2679B878" w14:textId="77777777" w:rsidR="001678E2" w:rsidRPr="0076650E" w:rsidRDefault="001678E2" w:rsidP="001678E2">
      <w:pPr>
        <w:pStyle w:val="ListParagraph"/>
        <w:widowControl/>
        <w:numPr>
          <w:ilvl w:val="0"/>
          <w:numId w:val="3"/>
        </w:numPr>
        <w:adjustRightInd w:val="0"/>
        <w:rPr>
          <w:rFonts w:ascii="Georgia" w:eastAsiaTheme="minorHAnsi" w:hAnsi="Georgia" w:cs="Georgia"/>
          <w:color w:val="000000"/>
          <w:sz w:val="20"/>
          <w:szCs w:val="20"/>
        </w:rPr>
      </w:pPr>
      <w:r w:rsidRPr="0076650E">
        <w:rPr>
          <w:rFonts w:ascii="Georgia" w:eastAsiaTheme="minorHAnsi" w:hAnsi="Georgia" w:cs="Georgia"/>
          <w:color w:val="000000"/>
          <w:sz w:val="20"/>
          <w:szCs w:val="20"/>
        </w:rPr>
        <w:t xml:space="preserve">Reimbursement from Product Sponsors for research and technology-related costs, such as those to build systems, tools, and new features to aid in servicing clients. Additionally, we and our affiliates receive compensation from Product Sponsors to provide aggregate sales data. </w:t>
      </w:r>
    </w:p>
    <w:p w14:paraId="26A69B74" w14:textId="77777777" w:rsidR="001678E2" w:rsidRPr="000664DE" w:rsidRDefault="001678E2" w:rsidP="001678E2">
      <w:pPr>
        <w:widowControl/>
        <w:adjustRightInd w:val="0"/>
        <w:rPr>
          <w:rFonts w:ascii="Georgia" w:eastAsiaTheme="minorHAnsi" w:hAnsi="Georgia" w:cs="Georgia"/>
          <w:b/>
          <w:color w:val="000000"/>
          <w:sz w:val="20"/>
          <w:szCs w:val="20"/>
        </w:rPr>
      </w:pPr>
    </w:p>
    <w:p w14:paraId="60A66C08" w14:textId="77777777" w:rsidR="001678E2" w:rsidRPr="000664DE" w:rsidRDefault="001678E2" w:rsidP="001678E2">
      <w:pPr>
        <w:widowControl/>
        <w:adjustRightInd w:val="0"/>
        <w:rPr>
          <w:rFonts w:ascii="Georgia" w:eastAsiaTheme="minorHAnsi" w:hAnsi="Georgia" w:cs="Georgia"/>
          <w:b/>
          <w:bCs/>
          <w:sz w:val="20"/>
          <w:szCs w:val="20"/>
        </w:rPr>
      </w:pPr>
      <w:r w:rsidRPr="000664DE">
        <w:rPr>
          <w:rFonts w:ascii="Georgia" w:eastAsiaTheme="minorHAnsi" w:hAnsi="Georgia" w:cs="Georgia"/>
          <w:b/>
          <w:bCs/>
          <w:sz w:val="20"/>
          <w:szCs w:val="20"/>
        </w:rPr>
        <w:t xml:space="preserve">Product </w:t>
      </w:r>
      <w:r>
        <w:rPr>
          <w:rFonts w:ascii="Georgia" w:eastAsiaTheme="minorHAnsi" w:hAnsi="Georgia" w:cs="Georgia"/>
          <w:b/>
          <w:bCs/>
          <w:sz w:val="20"/>
          <w:szCs w:val="20"/>
        </w:rPr>
        <w:t>Share Classes</w:t>
      </w:r>
    </w:p>
    <w:p w14:paraId="6B8B6644" w14:textId="77777777" w:rsidR="001678E2" w:rsidRPr="000664DE" w:rsidRDefault="001678E2" w:rsidP="001678E2">
      <w:pPr>
        <w:widowControl/>
        <w:adjustRightInd w:val="0"/>
        <w:rPr>
          <w:rFonts w:ascii="Georgia" w:eastAsiaTheme="minorHAnsi" w:hAnsi="Georgia" w:cs="Georgia"/>
          <w:bCs/>
          <w:sz w:val="20"/>
          <w:szCs w:val="20"/>
        </w:rPr>
      </w:pPr>
      <w:r w:rsidRPr="000664DE">
        <w:rPr>
          <w:rFonts w:ascii="Georgia" w:eastAsiaTheme="minorHAnsi" w:hAnsi="Georgia" w:cs="Georgia"/>
          <w:bCs/>
          <w:sz w:val="20"/>
          <w:szCs w:val="20"/>
        </w:rPr>
        <w:t xml:space="preserve">Some Product Sponsors offer multiple structures of the same product (e.g., mutual fund share classes) with each option having </w:t>
      </w:r>
      <w:r>
        <w:rPr>
          <w:rFonts w:ascii="Georgia" w:eastAsiaTheme="minorHAnsi" w:hAnsi="Georgia" w:cs="Georgia"/>
          <w:bCs/>
          <w:sz w:val="20"/>
          <w:szCs w:val="20"/>
        </w:rPr>
        <w:t xml:space="preserve">a </w:t>
      </w:r>
      <w:r w:rsidRPr="000664DE">
        <w:rPr>
          <w:rFonts w:ascii="Georgia" w:eastAsiaTheme="minorHAnsi" w:hAnsi="Georgia" w:cs="Georgia"/>
          <w:bCs/>
          <w:sz w:val="20"/>
          <w:szCs w:val="20"/>
        </w:rPr>
        <w:t>unique expense structure, and some having lower costs to you as compared to others. W</w:t>
      </w:r>
      <w:r>
        <w:rPr>
          <w:rFonts w:ascii="Georgia" w:eastAsiaTheme="minorHAnsi" w:hAnsi="Georgia" w:cs="Georgia"/>
          <w:bCs/>
          <w:sz w:val="20"/>
          <w:szCs w:val="20"/>
        </w:rPr>
        <w:t xml:space="preserve">orld is not </w:t>
      </w:r>
      <w:proofErr w:type="spellStart"/>
      <w:r>
        <w:rPr>
          <w:rFonts w:ascii="Georgia" w:eastAsiaTheme="minorHAnsi" w:hAnsi="Georgia" w:cs="Georgia"/>
          <w:bCs/>
          <w:sz w:val="20"/>
          <w:szCs w:val="20"/>
        </w:rPr>
        <w:t>incentivised</w:t>
      </w:r>
      <w:proofErr w:type="spellEnd"/>
      <w:r w:rsidRPr="000664DE">
        <w:rPr>
          <w:rFonts w:ascii="Georgia" w:eastAsiaTheme="minorHAnsi" w:hAnsi="Georgia" w:cs="Georgia"/>
          <w:bCs/>
          <w:sz w:val="20"/>
          <w:szCs w:val="20"/>
        </w:rPr>
        <w:t xml:space="preserve"> to make available those share classes or other product structures that will generate the highest compensation to us.</w:t>
      </w:r>
    </w:p>
    <w:p w14:paraId="5DDF261A" w14:textId="77777777" w:rsidR="001678E2" w:rsidRPr="0076650E" w:rsidRDefault="001678E2" w:rsidP="001678E2">
      <w:pPr>
        <w:widowControl/>
        <w:adjustRightInd w:val="0"/>
        <w:rPr>
          <w:rFonts w:ascii="Georgia" w:eastAsiaTheme="minorHAnsi" w:hAnsi="Georgia" w:cs="Georgia"/>
          <w:b/>
          <w:bCs/>
          <w:color w:val="000000"/>
          <w:sz w:val="20"/>
          <w:szCs w:val="20"/>
        </w:rPr>
      </w:pPr>
    </w:p>
    <w:p w14:paraId="54C5A6C2" w14:textId="77777777" w:rsidR="001678E2" w:rsidRPr="0076650E" w:rsidRDefault="001678E2" w:rsidP="001678E2">
      <w:pPr>
        <w:widowControl/>
        <w:adjustRightInd w:val="0"/>
        <w:rPr>
          <w:rFonts w:ascii="Georgia" w:eastAsiaTheme="minorHAnsi" w:hAnsi="Georgia" w:cs="Georgia"/>
          <w:b/>
          <w:bCs/>
          <w:color w:val="000000"/>
          <w:sz w:val="20"/>
          <w:szCs w:val="20"/>
        </w:rPr>
      </w:pPr>
      <w:r w:rsidRPr="0076650E">
        <w:rPr>
          <w:rFonts w:ascii="Georgia" w:eastAsiaTheme="minorHAnsi" w:hAnsi="Georgia" w:cs="Georgia"/>
          <w:b/>
          <w:bCs/>
          <w:color w:val="000000"/>
          <w:sz w:val="20"/>
          <w:szCs w:val="20"/>
        </w:rPr>
        <w:t xml:space="preserve">Compensation Related to Proprietary Products </w:t>
      </w:r>
    </w:p>
    <w:p w14:paraId="3D9B4F39" w14:textId="77777777" w:rsidR="001678E2" w:rsidRPr="0076650E" w:rsidRDefault="001678E2" w:rsidP="001678E2">
      <w:pPr>
        <w:pStyle w:val="Default"/>
        <w:rPr>
          <w:rFonts w:ascii="Georgia" w:hAnsi="Georgia" w:cs="Georgia"/>
          <w:sz w:val="20"/>
          <w:szCs w:val="20"/>
        </w:rPr>
      </w:pPr>
      <w:r>
        <w:rPr>
          <w:rFonts w:ascii="Georgia" w:hAnsi="Georgia" w:cs="Georgia"/>
          <w:sz w:val="20"/>
          <w:szCs w:val="20"/>
        </w:rPr>
        <w:t>Under industry standards, b</w:t>
      </w:r>
      <w:r w:rsidRPr="0076650E">
        <w:rPr>
          <w:rFonts w:ascii="Georgia" w:hAnsi="Georgia" w:cs="Georgia"/>
          <w:sz w:val="20"/>
          <w:szCs w:val="20"/>
        </w:rPr>
        <w:t xml:space="preserve">rokerage recommendations can include a recommendation to invest in a product or service that is managed, </w:t>
      </w:r>
      <w:proofErr w:type="gramStart"/>
      <w:r w:rsidRPr="0076650E">
        <w:rPr>
          <w:rFonts w:ascii="Georgia" w:hAnsi="Georgia" w:cs="Georgia"/>
          <w:sz w:val="20"/>
          <w:szCs w:val="20"/>
        </w:rPr>
        <w:t>issued</w:t>
      </w:r>
      <w:proofErr w:type="gramEnd"/>
      <w:r w:rsidRPr="0076650E">
        <w:rPr>
          <w:rFonts w:ascii="Georgia" w:hAnsi="Georgia" w:cs="Georgia"/>
          <w:sz w:val="20"/>
          <w:szCs w:val="20"/>
        </w:rPr>
        <w:t xml:space="preserve"> or sponsored by us or our affiliates. </w:t>
      </w:r>
      <w:r>
        <w:rPr>
          <w:rFonts w:ascii="Georgia" w:hAnsi="Georgia" w:cs="Georgia"/>
          <w:sz w:val="20"/>
          <w:szCs w:val="20"/>
        </w:rPr>
        <w:t xml:space="preserve">  World does not manage, </w:t>
      </w:r>
      <w:proofErr w:type="gramStart"/>
      <w:r>
        <w:rPr>
          <w:rFonts w:ascii="Georgia" w:hAnsi="Georgia" w:cs="Georgia"/>
          <w:sz w:val="20"/>
          <w:szCs w:val="20"/>
        </w:rPr>
        <w:t>issue</w:t>
      </w:r>
      <w:proofErr w:type="gramEnd"/>
      <w:r>
        <w:rPr>
          <w:rFonts w:ascii="Georgia" w:hAnsi="Georgia" w:cs="Georgia"/>
          <w:sz w:val="20"/>
          <w:szCs w:val="20"/>
        </w:rPr>
        <w:t xml:space="preserve"> or sponsor any products.</w:t>
      </w:r>
    </w:p>
    <w:p w14:paraId="0A3B0305" w14:textId="77777777" w:rsidR="001678E2" w:rsidRPr="0076650E" w:rsidRDefault="001678E2" w:rsidP="001678E2">
      <w:pPr>
        <w:widowControl/>
        <w:adjustRightInd w:val="0"/>
        <w:rPr>
          <w:rFonts w:ascii="Georgia" w:eastAsiaTheme="minorHAnsi" w:hAnsi="Georgia" w:cs="Georgia"/>
          <w:b/>
          <w:bCs/>
          <w:color w:val="000000"/>
          <w:sz w:val="20"/>
          <w:szCs w:val="20"/>
        </w:rPr>
      </w:pPr>
    </w:p>
    <w:tbl>
      <w:tblPr>
        <w:tblStyle w:val="TableGrid"/>
        <w:tblW w:w="0" w:type="auto"/>
        <w:tblLook w:val="04A0" w:firstRow="1" w:lastRow="0" w:firstColumn="1" w:lastColumn="0" w:noHBand="0" w:noVBand="1"/>
      </w:tblPr>
      <w:tblGrid>
        <w:gridCol w:w="9350"/>
      </w:tblGrid>
      <w:tr w:rsidR="001678E2" w14:paraId="44B30FC1" w14:textId="77777777" w:rsidTr="005546CB">
        <w:tc>
          <w:tcPr>
            <w:tcW w:w="9920" w:type="dxa"/>
            <w:shd w:val="clear" w:color="auto" w:fill="000000" w:themeFill="text1"/>
          </w:tcPr>
          <w:p w14:paraId="14EF8AF8" w14:textId="77777777" w:rsidR="001678E2" w:rsidRPr="001067C7" w:rsidRDefault="001678E2" w:rsidP="005546CB">
            <w:pPr>
              <w:widowControl/>
              <w:adjustRightInd w:val="0"/>
              <w:rPr>
                <w:rFonts w:ascii="Georgia" w:hAnsi="Georgia"/>
                <w:b/>
                <w:bCs/>
              </w:rPr>
            </w:pPr>
            <w:r w:rsidRPr="001067C7">
              <w:rPr>
                <w:rFonts w:ascii="Georgia" w:hAnsi="Georgia"/>
                <w:b/>
                <w:bCs/>
              </w:rPr>
              <w:t xml:space="preserve">Compensation Related to Our Affiliates </w:t>
            </w:r>
          </w:p>
        </w:tc>
      </w:tr>
    </w:tbl>
    <w:p w14:paraId="247039C7" w14:textId="77777777" w:rsidR="001678E2" w:rsidRDefault="001678E2" w:rsidP="001678E2">
      <w:pPr>
        <w:widowControl/>
        <w:adjustRightInd w:val="0"/>
        <w:rPr>
          <w:rFonts w:ascii="Georgia" w:eastAsiaTheme="minorHAnsi" w:hAnsi="Georgia" w:cs="Georgia"/>
          <w:b/>
          <w:bCs/>
          <w:color w:val="000000"/>
          <w:sz w:val="20"/>
          <w:szCs w:val="20"/>
        </w:rPr>
      </w:pPr>
    </w:p>
    <w:p w14:paraId="006558E5" w14:textId="60595D30" w:rsidR="001678E2" w:rsidRPr="00FF7061" w:rsidRDefault="001678E2" w:rsidP="001678E2">
      <w:pPr>
        <w:widowControl/>
        <w:adjustRightInd w:val="0"/>
        <w:rPr>
          <w:rFonts w:ascii="Georgia" w:eastAsiaTheme="minorHAnsi" w:hAnsi="Georgia" w:cs="Georgia"/>
          <w:bCs/>
          <w:color w:val="000000"/>
          <w:sz w:val="20"/>
          <w:szCs w:val="20"/>
        </w:rPr>
      </w:pPr>
      <w:r>
        <w:rPr>
          <w:rFonts w:ascii="Georgia" w:eastAsiaTheme="minorHAnsi" w:hAnsi="Georgia" w:cs="Georgia"/>
          <w:bCs/>
          <w:color w:val="000000"/>
          <w:sz w:val="20"/>
          <w:szCs w:val="20"/>
        </w:rPr>
        <w:t>World does not receive a</w:t>
      </w:r>
      <w:r>
        <w:rPr>
          <w:rFonts w:ascii="Georgia" w:eastAsiaTheme="minorHAnsi" w:hAnsi="Georgia" w:cs="Georgia"/>
          <w:bCs/>
          <w:color w:val="000000"/>
          <w:sz w:val="20"/>
          <w:szCs w:val="20"/>
        </w:rPr>
        <w:t>ny</w:t>
      </w:r>
      <w:r>
        <w:rPr>
          <w:rFonts w:ascii="Georgia" w:eastAsiaTheme="minorHAnsi" w:hAnsi="Georgia" w:cs="Georgia"/>
          <w:bCs/>
          <w:color w:val="000000"/>
          <w:sz w:val="20"/>
          <w:szCs w:val="20"/>
        </w:rPr>
        <w:t xml:space="preserve"> compensation from an affiliate for brokerage recommendations.</w:t>
      </w:r>
    </w:p>
    <w:p w14:paraId="4B0FF540" w14:textId="77777777" w:rsidR="001678E2" w:rsidRDefault="001678E2" w:rsidP="001678E2">
      <w:pPr>
        <w:pStyle w:val="Default"/>
        <w:rPr>
          <w:rFonts w:ascii="Georgia" w:hAnsi="Georgia" w:cs="Georgia"/>
          <w:b/>
          <w:bCs/>
          <w:sz w:val="20"/>
          <w:szCs w:val="20"/>
        </w:rPr>
      </w:pPr>
    </w:p>
    <w:p w14:paraId="3E406A99" w14:textId="77777777" w:rsidR="001678E2" w:rsidRPr="0084768E" w:rsidRDefault="001678E2" w:rsidP="001678E2">
      <w:pPr>
        <w:widowControl/>
        <w:adjustRightInd w:val="0"/>
        <w:rPr>
          <w:rFonts w:ascii="Georgia" w:eastAsiaTheme="minorHAnsi" w:hAnsi="Georgia" w:cs="Georgia"/>
          <w:b/>
          <w:bCs/>
          <w:color w:val="000000"/>
          <w:sz w:val="20"/>
          <w:szCs w:val="20"/>
        </w:rPr>
      </w:pPr>
    </w:p>
    <w:tbl>
      <w:tblPr>
        <w:tblStyle w:val="TableGrid"/>
        <w:tblW w:w="0" w:type="auto"/>
        <w:tblLook w:val="04A0" w:firstRow="1" w:lastRow="0" w:firstColumn="1" w:lastColumn="0" w:noHBand="0" w:noVBand="1"/>
      </w:tblPr>
      <w:tblGrid>
        <w:gridCol w:w="9350"/>
      </w:tblGrid>
      <w:tr w:rsidR="001678E2" w:rsidRPr="00206378" w14:paraId="4B78A609" w14:textId="77777777" w:rsidTr="005546CB">
        <w:trPr>
          <w:trHeight w:val="70"/>
        </w:trPr>
        <w:tc>
          <w:tcPr>
            <w:tcW w:w="9920" w:type="dxa"/>
            <w:shd w:val="clear" w:color="auto" w:fill="000000" w:themeFill="text1"/>
          </w:tcPr>
          <w:p w14:paraId="48464959" w14:textId="77777777" w:rsidR="001678E2" w:rsidRPr="00206378" w:rsidRDefault="001678E2" w:rsidP="005546CB">
            <w:pPr>
              <w:widowControl/>
              <w:adjustRightInd w:val="0"/>
              <w:rPr>
                <w:rFonts w:ascii="Georgia" w:eastAsiaTheme="minorHAnsi" w:hAnsi="Georgia" w:cs="Georgia"/>
                <w:b/>
                <w:bCs/>
                <w:color w:val="FFFFFF" w:themeColor="background1"/>
              </w:rPr>
            </w:pPr>
            <w:r w:rsidRPr="00206378">
              <w:rPr>
                <w:rFonts w:ascii="Georgia" w:eastAsiaTheme="minorHAnsi" w:hAnsi="Georgia" w:cs="Georgia"/>
                <w:b/>
                <w:bCs/>
                <w:color w:val="FFFFFF" w:themeColor="background1"/>
              </w:rPr>
              <w:t xml:space="preserve">Compensation Received by </w:t>
            </w:r>
            <w:r>
              <w:rPr>
                <w:rFonts w:ascii="Georgia" w:eastAsiaTheme="minorHAnsi" w:hAnsi="Georgia" w:cs="Georgia"/>
                <w:b/>
                <w:bCs/>
                <w:color w:val="FFFFFF" w:themeColor="background1"/>
              </w:rPr>
              <w:t>Associated Persons</w:t>
            </w:r>
          </w:p>
        </w:tc>
      </w:tr>
    </w:tbl>
    <w:p w14:paraId="6E8684C7" w14:textId="77777777" w:rsidR="001678E2" w:rsidRPr="005324D7" w:rsidRDefault="001678E2" w:rsidP="001678E2">
      <w:pPr>
        <w:widowControl/>
        <w:adjustRightInd w:val="0"/>
        <w:rPr>
          <w:rFonts w:ascii="Georgia" w:eastAsiaTheme="minorHAnsi" w:hAnsi="Georgia" w:cs="Georgia"/>
          <w:bCs/>
          <w:color w:val="FFFFFF" w:themeColor="background1"/>
          <w:sz w:val="20"/>
          <w:szCs w:val="20"/>
          <w:u w:val="single"/>
        </w:rPr>
      </w:pPr>
      <w:r w:rsidRPr="005324D7">
        <w:rPr>
          <w:rFonts w:ascii="Georgia" w:eastAsiaTheme="minorHAnsi" w:hAnsi="Georgia" w:cs="Georgia"/>
          <w:bCs/>
          <w:color w:val="FFFFFF" w:themeColor="background1"/>
          <w:sz w:val="20"/>
          <w:szCs w:val="20"/>
          <w:u w:val="single"/>
        </w:rPr>
        <w:t>[REVIEW AND REVISE BELOW DESCRIPTIONS AS APPROPRIATE FOR YOUR FIRM’S COMPENSATION PRACTICES]</w:t>
      </w:r>
    </w:p>
    <w:p w14:paraId="39A0BA82" w14:textId="5F58D4F3" w:rsidR="001678E2" w:rsidRPr="002F0A55" w:rsidRDefault="001678E2" w:rsidP="001678E2">
      <w:pPr>
        <w:widowControl/>
        <w:adjustRightInd w:val="0"/>
        <w:rPr>
          <w:rFonts w:ascii="Georgia" w:eastAsiaTheme="minorHAnsi" w:hAnsi="Georgia" w:cs="Georgia"/>
          <w:color w:val="000000"/>
          <w:sz w:val="20"/>
          <w:szCs w:val="20"/>
        </w:rPr>
      </w:pPr>
      <w:r>
        <w:rPr>
          <w:rFonts w:ascii="Georgia" w:eastAsiaTheme="minorHAnsi" w:hAnsi="Georgia" w:cs="Georgia"/>
          <w:color w:val="000000"/>
          <w:sz w:val="20"/>
          <w:szCs w:val="20"/>
        </w:rPr>
        <w:t xml:space="preserve">Industry </w:t>
      </w:r>
      <w:bookmarkStart w:id="6" w:name="_Hlk42762638"/>
      <w:r>
        <w:rPr>
          <w:rFonts w:ascii="Georgia" w:eastAsiaTheme="minorHAnsi" w:hAnsi="Georgia" w:cs="Georgia"/>
          <w:color w:val="000000"/>
          <w:sz w:val="20"/>
          <w:szCs w:val="20"/>
        </w:rPr>
        <w:t>associated persons</w:t>
      </w:r>
      <w:r w:rsidRPr="00C80BD2">
        <w:rPr>
          <w:rFonts w:ascii="Georgia" w:eastAsiaTheme="minorHAnsi" w:hAnsi="Georgia" w:cs="Georgia"/>
          <w:color w:val="000000"/>
          <w:sz w:val="20"/>
          <w:szCs w:val="20"/>
        </w:rPr>
        <w:t xml:space="preserve"> </w:t>
      </w:r>
      <w:bookmarkEnd w:id="6"/>
      <w:r>
        <w:rPr>
          <w:rFonts w:ascii="Georgia" w:eastAsiaTheme="minorHAnsi" w:hAnsi="Georgia" w:cs="Georgia"/>
          <w:color w:val="000000"/>
          <w:sz w:val="20"/>
          <w:szCs w:val="20"/>
        </w:rPr>
        <w:t>may be</w:t>
      </w:r>
      <w:r w:rsidRPr="00C80BD2">
        <w:rPr>
          <w:rFonts w:ascii="Georgia" w:eastAsiaTheme="minorHAnsi" w:hAnsi="Georgia" w:cs="Georgia"/>
          <w:color w:val="000000"/>
          <w:sz w:val="20"/>
          <w:szCs w:val="20"/>
        </w:rPr>
        <w:t xml:space="preserve"> compensated in a variety of ways based on the percentage of revenue generated from sales of products and services to clients and/or total assets under advisement, including </w:t>
      </w:r>
      <w:r>
        <w:rPr>
          <w:rFonts w:ascii="Georgia" w:eastAsiaTheme="minorHAnsi" w:hAnsi="Georgia" w:cs="Georgia"/>
          <w:color w:val="000000"/>
          <w:sz w:val="20"/>
          <w:szCs w:val="20"/>
        </w:rPr>
        <w:t>brokerage account activity</w:t>
      </w:r>
      <w:r w:rsidRPr="00C80BD2">
        <w:rPr>
          <w:rFonts w:ascii="Georgia" w:eastAsiaTheme="minorHAnsi" w:hAnsi="Georgia" w:cs="Georgia"/>
          <w:color w:val="000000"/>
          <w:sz w:val="20"/>
          <w:szCs w:val="20"/>
        </w:rPr>
        <w:t>.</w:t>
      </w:r>
      <w:r>
        <w:rPr>
          <w:rFonts w:ascii="Georgia" w:eastAsiaTheme="minorHAnsi" w:hAnsi="Georgia" w:cs="Georgia"/>
          <w:color w:val="000000"/>
          <w:sz w:val="20"/>
          <w:szCs w:val="20"/>
        </w:rPr>
        <w:t xml:space="preserve"> </w:t>
      </w:r>
      <w:r w:rsidRPr="00C80BD2">
        <w:rPr>
          <w:rFonts w:ascii="Georgia" w:eastAsiaTheme="minorHAnsi" w:hAnsi="Georgia" w:cs="Georgia"/>
          <w:color w:val="000000"/>
          <w:sz w:val="20"/>
          <w:szCs w:val="20"/>
        </w:rPr>
        <w:t xml:space="preserve">This compensation may vary by the product or service associated with a </w:t>
      </w:r>
      <w:r>
        <w:rPr>
          <w:rFonts w:ascii="Georgia" w:eastAsiaTheme="minorHAnsi" w:hAnsi="Georgia" w:cs="Georgia"/>
          <w:color w:val="000000"/>
          <w:sz w:val="20"/>
          <w:szCs w:val="20"/>
        </w:rPr>
        <w:t>brokerage recommendation</w:t>
      </w:r>
      <w:r w:rsidRPr="00C80BD2">
        <w:rPr>
          <w:rFonts w:ascii="Georgia" w:eastAsiaTheme="minorHAnsi" w:hAnsi="Georgia" w:cs="Georgia"/>
          <w:color w:val="000000"/>
          <w:sz w:val="20"/>
          <w:szCs w:val="20"/>
        </w:rPr>
        <w:t xml:space="preserve">. </w:t>
      </w:r>
      <w:r w:rsidRPr="002F0A55">
        <w:rPr>
          <w:rFonts w:ascii="Georgia" w:eastAsiaTheme="minorHAnsi" w:hAnsi="Georgia" w:cs="Georgia"/>
          <w:color w:val="000000"/>
          <w:sz w:val="20"/>
          <w:szCs w:val="20"/>
        </w:rPr>
        <w:t>In addition to upfront-transaction based compensation, some products feature on-going residual or “trail” payments. Thus</w:t>
      </w:r>
      <w:r>
        <w:rPr>
          <w:rFonts w:ascii="Georgia" w:eastAsiaTheme="minorHAnsi" w:hAnsi="Georgia" w:cs="Georgia"/>
          <w:color w:val="000000"/>
          <w:sz w:val="20"/>
          <w:szCs w:val="20"/>
        </w:rPr>
        <w:t>,</w:t>
      </w:r>
      <w:r w:rsidRPr="002F0A55">
        <w:rPr>
          <w:rFonts w:ascii="Georgia" w:eastAsiaTheme="minorHAnsi" w:hAnsi="Georgia" w:cs="Georgia"/>
          <w:color w:val="000000"/>
          <w:sz w:val="20"/>
          <w:szCs w:val="20"/>
        </w:rPr>
        <w:t xml:space="preserve"> </w:t>
      </w:r>
      <w:r>
        <w:rPr>
          <w:rFonts w:ascii="Georgia" w:eastAsiaTheme="minorHAnsi" w:hAnsi="Georgia" w:cs="Georgia"/>
          <w:color w:val="000000"/>
          <w:sz w:val="20"/>
          <w:szCs w:val="20"/>
        </w:rPr>
        <w:t>associated persons</w:t>
      </w:r>
      <w:r w:rsidRPr="00C80BD2">
        <w:rPr>
          <w:rFonts w:ascii="Georgia" w:eastAsiaTheme="minorHAnsi" w:hAnsi="Georgia" w:cs="Georgia"/>
          <w:color w:val="000000"/>
          <w:sz w:val="20"/>
          <w:szCs w:val="20"/>
        </w:rPr>
        <w:t xml:space="preserve"> </w:t>
      </w:r>
      <w:r w:rsidRPr="002F0A55">
        <w:rPr>
          <w:rFonts w:ascii="Georgia" w:eastAsiaTheme="minorHAnsi" w:hAnsi="Georgia" w:cs="Georgia"/>
          <w:color w:val="000000"/>
          <w:sz w:val="20"/>
          <w:szCs w:val="20"/>
        </w:rPr>
        <w:t xml:space="preserve">are incentivized to recommend products that </w:t>
      </w:r>
      <w:r>
        <w:rPr>
          <w:rFonts w:ascii="Georgia" w:eastAsiaTheme="minorHAnsi" w:hAnsi="Georgia" w:cs="Georgia"/>
          <w:color w:val="000000"/>
          <w:sz w:val="20"/>
          <w:szCs w:val="20"/>
        </w:rPr>
        <w:t xml:space="preserve">have higher fees as well as those with </w:t>
      </w:r>
      <w:r w:rsidRPr="002F0A55">
        <w:rPr>
          <w:rFonts w:ascii="Georgia" w:eastAsiaTheme="minorHAnsi" w:hAnsi="Georgia" w:cs="Georgia"/>
          <w:color w:val="000000"/>
          <w:sz w:val="20"/>
          <w:szCs w:val="20"/>
        </w:rPr>
        <w:t xml:space="preserve">on-going payments. </w:t>
      </w:r>
      <w:r>
        <w:rPr>
          <w:rFonts w:ascii="Georgia" w:eastAsiaTheme="minorHAnsi" w:hAnsi="Georgia" w:cs="Georgia"/>
          <w:color w:val="000000"/>
          <w:sz w:val="20"/>
          <w:szCs w:val="20"/>
        </w:rPr>
        <w:t xml:space="preserve">  World is not compensated based on a percentage of revenue on the sales of products and services or for total assets under advisement.</w:t>
      </w:r>
    </w:p>
    <w:p w14:paraId="661FDC93" w14:textId="77777777" w:rsidR="001678E2" w:rsidRDefault="001678E2" w:rsidP="001678E2">
      <w:pPr>
        <w:widowControl/>
        <w:adjustRightInd w:val="0"/>
        <w:rPr>
          <w:rFonts w:ascii="Georgia" w:eastAsiaTheme="minorHAnsi" w:hAnsi="Georgia" w:cs="Georgia"/>
          <w:color w:val="000000"/>
          <w:sz w:val="20"/>
          <w:szCs w:val="20"/>
        </w:rPr>
      </w:pPr>
    </w:p>
    <w:p w14:paraId="6F5DDAF3" w14:textId="77777777" w:rsidR="001678E2" w:rsidRPr="00C80BD2" w:rsidRDefault="001678E2" w:rsidP="001678E2">
      <w:pPr>
        <w:widowControl/>
        <w:adjustRightInd w:val="0"/>
        <w:rPr>
          <w:rFonts w:ascii="Georgia" w:eastAsiaTheme="minorHAnsi" w:hAnsi="Georgia" w:cs="Georgia"/>
          <w:color w:val="000000"/>
          <w:sz w:val="20"/>
          <w:szCs w:val="20"/>
        </w:rPr>
      </w:pPr>
      <w:r w:rsidRPr="00C80BD2">
        <w:rPr>
          <w:rFonts w:ascii="Georgia" w:eastAsiaTheme="minorHAnsi" w:hAnsi="Georgia" w:cs="Georgia"/>
          <w:color w:val="000000"/>
          <w:sz w:val="20"/>
          <w:szCs w:val="20"/>
        </w:rPr>
        <w:t>Typically, a</w:t>
      </w:r>
      <w:r>
        <w:rPr>
          <w:rFonts w:ascii="Georgia" w:eastAsiaTheme="minorHAnsi" w:hAnsi="Georgia" w:cs="Georgia"/>
          <w:color w:val="000000"/>
          <w:sz w:val="20"/>
          <w:szCs w:val="20"/>
        </w:rPr>
        <w:t>n</w:t>
      </w:r>
      <w:r w:rsidRPr="00C80BD2">
        <w:rPr>
          <w:rFonts w:ascii="Georgia" w:eastAsiaTheme="minorHAnsi" w:hAnsi="Georgia" w:cs="Georgia"/>
          <w:color w:val="000000"/>
          <w:sz w:val="20"/>
          <w:szCs w:val="20"/>
        </w:rPr>
        <w:t xml:space="preserve"> </w:t>
      </w:r>
      <w:r>
        <w:rPr>
          <w:rFonts w:ascii="Georgia" w:eastAsiaTheme="minorHAnsi" w:hAnsi="Georgia" w:cs="Georgia"/>
          <w:color w:val="000000"/>
          <w:sz w:val="20"/>
          <w:szCs w:val="20"/>
        </w:rPr>
        <w:t>industry associated persons</w:t>
      </w:r>
      <w:r w:rsidRPr="00C80BD2">
        <w:rPr>
          <w:rFonts w:ascii="Georgia" w:eastAsiaTheme="minorHAnsi" w:hAnsi="Georgia" w:cs="Georgia"/>
          <w:color w:val="000000"/>
          <w:sz w:val="20"/>
          <w:szCs w:val="20"/>
        </w:rPr>
        <w:t xml:space="preserve"> payout schedule (periodically adjusted</w:t>
      </w:r>
      <w:r>
        <w:rPr>
          <w:rFonts w:ascii="Georgia" w:eastAsiaTheme="minorHAnsi" w:hAnsi="Georgia" w:cs="Georgia"/>
          <w:color w:val="000000"/>
          <w:sz w:val="20"/>
          <w:szCs w:val="20"/>
        </w:rPr>
        <w:t xml:space="preserve"> at a firm’s discretion</w:t>
      </w:r>
      <w:r w:rsidRPr="00C80BD2">
        <w:rPr>
          <w:rFonts w:ascii="Georgia" w:eastAsiaTheme="minorHAnsi" w:hAnsi="Georgia" w:cs="Georgia"/>
          <w:color w:val="000000"/>
          <w:sz w:val="20"/>
          <w:szCs w:val="20"/>
        </w:rPr>
        <w:t xml:space="preserve">) increases with production and asset levels. </w:t>
      </w:r>
      <w:r>
        <w:rPr>
          <w:rFonts w:ascii="Georgia" w:eastAsiaTheme="minorHAnsi" w:hAnsi="Georgia" w:cs="Georgia"/>
          <w:color w:val="000000"/>
          <w:sz w:val="20"/>
          <w:szCs w:val="20"/>
        </w:rPr>
        <w:t>World does not adjust an advisor’s payout schedule  for increases or decreases in</w:t>
      </w:r>
      <w:r w:rsidRPr="00C80BD2">
        <w:rPr>
          <w:rFonts w:ascii="Georgia" w:eastAsiaTheme="minorHAnsi" w:hAnsi="Georgia" w:cs="Georgia"/>
          <w:color w:val="000000"/>
          <w:sz w:val="20"/>
          <w:szCs w:val="20"/>
        </w:rPr>
        <w:t xml:space="preserve"> production levels, tenure with the firm, client product mix, asset gathering, referrals to affiliates or other targets, as well as compliance with our policies and procedures and meeting best business practices. </w:t>
      </w:r>
    </w:p>
    <w:p w14:paraId="7EA59D86" w14:textId="77777777" w:rsidR="001678E2" w:rsidRDefault="001678E2" w:rsidP="001678E2">
      <w:pPr>
        <w:widowControl/>
        <w:adjustRightInd w:val="0"/>
        <w:rPr>
          <w:rFonts w:ascii="Georgia" w:eastAsiaTheme="minorHAnsi" w:hAnsi="Georgia" w:cs="Georgia"/>
          <w:color w:val="000000"/>
          <w:sz w:val="20"/>
          <w:szCs w:val="20"/>
        </w:rPr>
      </w:pPr>
    </w:p>
    <w:p w14:paraId="32992A9F" w14:textId="77777777" w:rsidR="001678E2" w:rsidRDefault="001678E2" w:rsidP="001678E2">
      <w:pPr>
        <w:widowControl/>
        <w:adjustRightInd w:val="0"/>
        <w:rPr>
          <w:rFonts w:ascii="Georgia" w:eastAsiaTheme="minorHAnsi" w:hAnsi="Georgia" w:cs="Georgia"/>
          <w:color w:val="000000"/>
          <w:sz w:val="20"/>
          <w:szCs w:val="20"/>
        </w:rPr>
      </w:pPr>
    </w:p>
    <w:p w14:paraId="3904E2DD" w14:textId="77777777" w:rsidR="001678E2" w:rsidRDefault="001678E2" w:rsidP="001678E2">
      <w:pPr>
        <w:widowControl/>
        <w:adjustRightInd w:val="0"/>
        <w:rPr>
          <w:rFonts w:ascii="Georgia" w:eastAsiaTheme="minorHAnsi" w:hAnsi="Georgia" w:cs="Georgia"/>
          <w:color w:val="000000"/>
          <w:sz w:val="20"/>
          <w:szCs w:val="20"/>
        </w:rPr>
      </w:pPr>
      <w:r>
        <w:rPr>
          <w:rFonts w:ascii="Georgia" w:eastAsiaTheme="minorHAnsi" w:hAnsi="Georgia" w:cs="Georgia"/>
          <w:color w:val="000000"/>
          <w:sz w:val="20"/>
          <w:szCs w:val="20"/>
        </w:rPr>
        <w:t>Associated persons</w:t>
      </w:r>
      <w:r w:rsidRPr="00C80BD2">
        <w:rPr>
          <w:rFonts w:ascii="Georgia" w:eastAsiaTheme="minorHAnsi" w:hAnsi="Georgia" w:cs="Georgia"/>
          <w:color w:val="000000"/>
          <w:sz w:val="20"/>
          <w:szCs w:val="20"/>
        </w:rPr>
        <w:t xml:space="preserve"> </w:t>
      </w:r>
      <w:r w:rsidRPr="003D487E">
        <w:rPr>
          <w:rFonts w:ascii="Georgia" w:eastAsiaTheme="minorHAnsi" w:hAnsi="Georgia" w:cs="Georgia"/>
          <w:color w:val="000000"/>
          <w:sz w:val="20"/>
          <w:szCs w:val="20"/>
        </w:rPr>
        <w:t>have an incentive to recommend you rollover assets from a Qualified Retirement Plan (QRP) to a brokerage Individual Retirement Account (IRA) because of the compensation they will receive. We maintain policies and procedures designed to ensure that rollover recommendations are in your best interest.</w:t>
      </w:r>
    </w:p>
    <w:p w14:paraId="0B800E9B" w14:textId="77777777" w:rsidR="001678E2" w:rsidRDefault="001678E2" w:rsidP="001678E2">
      <w:pPr>
        <w:widowControl/>
        <w:adjustRightInd w:val="0"/>
        <w:rPr>
          <w:rFonts w:ascii="Georgia" w:eastAsiaTheme="minorHAnsi" w:hAnsi="Georgia" w:cs="Georgia"/>
          <w:color w:val="000000"/>
          <w:sz w:val="20"/>
          <w:szCs w:val="20"/>
        </w:rPr>
      </w:pPr>
    </w:p>
    <w:p w14:paraId="4ABD0D60" w14:textId="77777777" w:rsidR="001678E2" w:rsidRPr="003D487E" w:rsidRDefault="001678E2" w:rsidP="001678E2">
      <w:pPr>
        <w:widowControl/>
        <w:adjustRightInd w:val="0"/>
        <w:rPr>
          <w:rFonts w:ascii="Georgia" w:eastAsiaTheme="minorHAnsi" w:hAnsi="Georgia" w:cs="Georgia"/>
          <w:color w:val="000000"/>
          <w:sz w:val="20"/>
          <w:szCs w:val="20"/>
        </w:rPr>
      </w:pPr>
      <w:r w:rsidRPr="003D487E">
        <w:rPr>
          <w:rFonts w:ascii="Georgia" w:eastAsiaTheme="minorHAnsi" w:hAnsi="Georgia" w:cs="Georgia"/>
          <w:color w:val="000000"/>
          <w:sz w:val="20"/>
          <w:szCs w:val="20"/>
        </w:rPr>
        <w:t xml:space="preserve">Brokerage accounts, unlike advisory accounts, do not feature an on-going fee based on assets under management. </w:t>
      </w:r>
      <w:r>
        <w:rPr>
          <w:rFonts w:ascii="Georgia" w:eastAsiaTheme="minorHAnsi" w:hAnsi="Georgia" w:cs="Georgia"/>
          <w:color w:val="000000"/>
          <w:sz w:val="20"/>
          <w:szCs w:val="20"/>
        </w:rPr>
        <w:t>Associated persons</w:t>
      </w:r>
      <w:r w:rsidRPr="00C80BD2">
        <w:rPr>
          <w:rFonts w:ascii="Georgia" w:eastAsiaTheme="minorHAnsi" w:hAnsi="Georgia" w:cs="Georgia"/>
          <w:color w:val="000000"/>
          <w:sz w:val="20"/>
          <w:szCs w:val="20"/>
        </w:rPr>
        <w:t xml:space="preserve"> </w:t>
      </w:r>
      <w:r w:rsidRPr="003D487E">
        <w:rPr>
          <w:rFonts w:ascii="Georgia" w:eastAsiaTheme="minorHAnsi" w:hAnsi="Georgia" w:cs="Georgia"/>
          <w:color w:val="000000"/>
          <w:sz w:val="20"/>
          <w:szCs w:val="20"/>
        </w:rPr>
        <w:t>are incentivized to recommend you transition your brokerage services account to an advisory account to generate on-going revenue where your brokerage account has minimal activity. Further</w:t>
      </w:r>
      <w:r w:rsidRPr="00B50E89">
        <w:rPr>
          <w:rFonts w:ascii="Georgia" w:eastAsiaTheme="minorHAnsi" w:hAnsi="Georgia" w:cs="Georgia"/>
          <w:color w:val="000000"/>
          <w:sz w:val="20"/>
          <w:szCs w:val="20"/>
        </w:rPr>
        <w:t xml:space="preserve"> </w:t>
      </w:r>
      <w:r>
        <w:rPr>
          <w:rFonts w:ascii="Georgia" w:eastAsiaTheme="minorHAnsi" w:hAnsi="Georgia" w:cs="Georgia"/>
          <w:color w:val="000000"/>
          <w:sz w:val="20"/>
          <w:szCs w:val="20"/>
        </w:rPr>
        <w:t>associated persons</w:t>
      </w:r>
      <w:r w:rsidRPr="00C80BD2">
        <w:rPr>
          <w:rFonts w:ascii="Georgia" w:eastAsiaTheme="minorHAnsi" w:hAnsi="Georgia" w:cs="Georgia"/>
          <w:color w:val="000000"/>
          <w:sz w:val="20"/>
          <w:szCs w:val="20"/>
        </w:rPr>
        <w:t xml:space="preserve"> </w:t>
      </w:r>
      <w:r w:rsidRPr="003D487E">
        <w:rPr>
          <w:rFonts w:ascii="Georgia" w:eastAsiaTheme="minorHAnsi" w:hAnsi="Georgia" w:cs="Georgia"/>
          <w:color w:val="000000"/>
          <w:sz w:val="20"/>
          <w:szCs w:val="20"/>
        </w:rPr>
        <w:t xml:space="preserve">are incentivized to recommend you transition your brokerage account to an advisory account after you have already placed purchases resulting in commissions and/or other transaction-based brokerage fees. We have controls established to identify and mitigate this risk. </w:t>
      </w:r>
      <w:r>
        <w:rPr>
          <w:rFonts w:ascii="Georgia" w:eastAsiaTheme="minorHAnsi" w:hAnsi="Georgia" w:cs="Georgia"/>
          <w:color w:val="000000"/>
          <w:sz w:val="20"/>
          <w:szCs w:val="20"/>
        </w:rPr>
        <w:t>associated persons</w:t>
      </w:r>
      <w:r w:rsidRPr="00C80BD2">
        <w:rPr>
          <w:rFonts w:ascii="Georgia" w:eastAsiaTheme="minorHAnsi" w:hAnsi="Georgia" w:cs="Georgia"/>
          <w:color w:val="000000"/>
          <w:sz w:val="20"/>
          <w:szCs w:val="20"/>
        </w:rPr>
        <w:t xml:space="preserve"> </w:t>
      </w:r>
      <w:r w:rsidRPr="003D487E">
        <w:rPr>
          <w:rFonts w:ascii="Georgia" w:eastAsiaTheme="minorHAnsi" w:hAnsi="Georgia" w:cs="Georgia"/>
          <w:color w:val="000000"/>
          <w:sz w:val="20"/>
          <w:szCs w:val="20"/>
        </w:rPr>
        <w:t xml:space="preserve">also have an incentive to provide higher levels of service to those clients who generate the most fees. </w:t>
      </w:r>
    </w:p>
    <w:p w14:paraId="51B6F723" w14:textId="77777777" w:rsidR="001678E2" w:rsidRPr="003D487E" w:rsidRDefault="001678E2" w:rsidP="001678E2">
      <w:pPr>
        <w:widowControl/>
        <w:adjustRightInd w:val="0"/>
        <w:rPr>
          <w:rFonts w:ascii="Georgia" w:eastAsiaTheme="minorHAnsi" w:hAnsi="Georgia" w:cs="Georgia"/>
          <w:color w:val="000000"/>
          <w:sz w:val="20"/>
          <w:szCs w:val="20"/>
        </w:rPr>
      </w:pPr>
    </w:p>
    <w:p w14:paraId="7333DCB1" w14:textId="77777777" w:rsidR="001678E2" w:rsidRDefault="001678E2" w:rsidP="001678E2">
      <w:pPr>
        <w:widowControl/>
        <w:adjustRightInd w:val="0"/>
        <w:rPr>
          <w:rFonts w:ascii="Georgia" w:eastAsiaTheme="minorHAnsi" w:hAnsi="Georgia" w:cs="Georgia"/>
          <w:color w:val="000000"/>
          <w:sz w:val="20"/>
          <w:szCs w:val="20"/>
        </w:rPr>
      </w:pPr>
      <w:r>
        <w:rPr>
          <w:rFonts w:ascii="Georgia" w:eastAsiaTheme="minorHAnsi" w:hAnsi="Georgia" w:cs="Georgia"/>
          <w:color w:val="000000"/>
          <w:sz w:val="20"/>
          <w:szCs w:val="20"/>
        </w:rPr>
        <w:t>World does not offer n</w:t>
      </w:r>
      <w:r w:rsidRPr="00B153AA">
        <w:rPr>
          <w:rFonts w:ascii="Georgia" w:eastAsiaTheme="minorHAnsi" w:hAnsi="Georgia" w:cs="Georgia"/>
          <w:color w:val="000000"/>
          <w:sz w:val="20"/>
          <w:szCs w:val="20"/>
        </w:rPr>
        <w:t>oncash compensation</w:t>
      </w:r>
      <w:r>
        <w:rPr>
          <w:rFonts w:ascii="Georgia" w:eastAsiaTheme="minorHAnsi" w:hAnsi="Georgia" w:cs="Georgia"/>
          <w:color w:val="000000"/>
          <w:sz w:val="20"/>
          <w:szCs w:val="20"/>
        </w:rPr>
        <w:t xml:space="preserve"> </w:t>
      </w:r>
      <w:r w:rsidRPr="00B153AA">
        <w:rPr>
          <w:rFonts w:ascii="Georgia" w:eastAsiaTheme="minorHAnsi" w:hAnsi="Georgia" w:cs="Georgia"/>
          <w:color w:val="000000"/>
          <w:sz w:val="20"/>
          <w:szCs w:val="20"/>
        </w:rPr>
        <w:t xml:space="preserve">to </w:t>
      </w:r>
      <w:r>
        <w:rPr>
          <w:rFonts w:ascii="Georgia" w:eastAsiaTheme="minorHAnsi" w:hAnsi="Georgia" w:cs="Georgia"/>
          <w:color w:val="000000"/>
          <w:sz w:val="20"/>
          <w:szCs w:val="20"/>
        </w:rPr>
        <w:t>associated persons</w:t>
      </w:r>
      <w:r w:rsidRPr="00C80BD2">
        <w:rPr>
          <w:rFonts w:ascii="Georgia" w:eastAsiaTheme="minorHAnsi" w:hAnsi="Georgia" w:cs="Georgia"/>
          <w:color w:val="000000"/>
          <w:sz w:val="20"/>
          <w:szCs w:val="20"/>
        </w:rPr>
        <w:t xml:space="preserve"> </w:t>
      </w:r>
      <w:r w:rsidRPr="00B153AA">
        <w:rPr>
          <w:rFonts w:ascii="Georgia" w:eastAsiaTheme="minorHAnsi" w:hAnsi="Georgia" w:cs="Georgia"/>
          <w:color w:val="000000"/>
          <w:sz w:val="20"/>
          <w:szCs w:val="20"/>
        </w:rPr>
        <w:t xml:space="preserve">in the form of credits toward business expense accounts and certain titles. </w:t>
      </w:r>
      <w:r>
        <w:rPr>
          <w:rFonts w:ascii="Georgia" w:eastAsiaTheme="minorHAnsi" w:hAnsi="Georgia" w:cs="Georgia"/>
          <w:color w:val="000000"/>
          <w:sz w:val="20"/>
          <w:szCs w:val="20"/>
        </w:rPr>
        <w:t>World does not offer c</w:t>
      </w:r>
      <w:r w:rsidRPr="00B153AA">
        <w:rPr>
          <w:rFonts w:ascii="Georgia" w:eastAsiaTheme="minorHAnsi" w:hAnsi="Georgia" w:cs="Georgia"/>
          <w:color w:val="000000"/>
          <w:sz w:val="20"/>
          <w:szCs w:val="20"/>
        </w:rPr>
        <w:t>ompensat</w:t>
      </w:r>
      <w:r>
        <w:rPr>
          <w:rFonts w:ascii="Georgia" w:eastAsiaTheme="minorHAnsi" w:hAnsi="Georgia" w:cs="Georgia"/>
          <w:color w:val="000000"/>
          <w:sz w:val="20"/>
          <w:szCs w:val="20"/>
        </w:rPr>
        <w:t>ion</w:t>
      </w:r>
      <w:r w:rsidRPr="00B153AA">
        <w:rPr>
          <w:rFonts w:ascii="Georgia" w:eastAsiaTheme="minorHAnsi" w:hAnsi="Georgia" w:cs="Georgia"/>
          <w:color w:val="000000"/>
          <w:sz w:val="20"/>
          <w:szCs w:val="20"/>
        </w:rPr>
        <w:t xml:space="preserve"> in the form of education meetings and recognition trips. </w:t>
      </w:r>
      <w:r>
        <w:rPr>
          <w:rFonts w:ascii="Georgia" w:eastAsiaTheme="minorHAnsi" w:hAnsi="Georgia" w:cs="Georgia"/>
          <w:color w:val="000000"/>
          <w:sz w:val="20"/>
          <w:szCs w:val="20"/>
        </w:rPr>
        <w:t xml:space="preserve"> Industry p</w:t>
      </w:r>
      <w:r w:rsidRPr="00B153AA">
        <w:rPr>
          <w:rFonts w:ascii="Georgia" w:eastAsiaTheme="minorHAnsi" w:hAnsi="Georgia" w:cs="Georgia"/>
          <w:color w:val="000000"/>
          <w:sz w:val="20"/>
          <w:szCs w:val="20"/>
        </w:rPr>
        <w:t>roduct providers that</w:t>
      </w:r>
      <w:r>
        <w:rPr>
          <w:rFonts w:ascii="Georgia" w:eastAsiaTheme="minorHAnsi" w:hAnsi="Georgia" w:cs="Georgia"/>
          <w:color w:val="000000"/>
          <w:sz w:val="20"/>
          <w:szCs w:val="20"/>
        </w:rPr>
        <w:t xml:space="preserve"> </w:t>
      </w:r>
      <w:r w:rsidRPr="00B153AA">
        <w:rPr>
          <w:rFonts w:ascii="Georgia" w:eastAsiaTheme="minorHAnsi" w:hAnsi="Georgia" w:cs="Georgia"/>
          <w:color w:val="000000"/>
          <w:sz w:val="20"/>
          <w:szCs w:val="20"/>
        </w:rPr>
        <w:t xml:space="preserve">sponsor and/or participate in education meetings and recognition trips </w:t>
      </w:r>
      <w:r>
        <w:rPr>
          <w:rFonts w:ascii="Georgia" w:eastAsiaTheme="minorHAnsi" w:hAnsi="Georgia" w:cs="Georgia"/>
          <w:color w:val="000000"/>
          <w:sz w:val="20"/>
          <w:szCs w:val="20"/>
        </w:rPr>
        <w:t xml:space="preserve">to </w:t>
      </w:r>
      <w:r w:rsidRPr="00B153AA">
        <w:rPr>
          <w:rFonts w:ascii="Georgia" w:eastAsiaTheme="minorHAnsi" w:hAnsi="Georgia" w:cs="Georgia"/>
          <w:color w:val="000000"/>
          <w:sz w:val="20"/>
          <w:szCs w:val="20"/>
        </w:rPr>
        <w:t>gain opportunities to build relations with</w:t>
      </w:r>
      <w:r w:rsidRPr="00B50E89">
        <w:rPr>
          <w:rFonts w:ascii="Georgia" w:eastAsiaTheme="minorHAnsi" w:hAnsi="Georgia" w:cs="Georgia"/>
          <w:color w:val="000000"/>
          <w:sz w:val="20"/>
          <w:szCs w:val="20"/>
        </w:rPr>
        <w:t xml:space="preserve"> </w:t>
      </w:r>
      <w:r>
        <w:rPr>
          <w:rFonts w:ascii="Georgia" w:eastAsiaTheme="minorHAnsi" w:hAnsi="Georgia" w:cs="Georgia"/>
          <w:color w:val="000000"/>
          <w:sz w:val="20"/>
          <w:szCs w:val="20"/>
        </w:rPr>
        <w:t>associated persons</w:t>
      </w:r>
      <w:r w:rsidRPr="00C80BD2">
        <w:rPr>
          <w:rFonts w:ascii="Georgia" w:eastAsiaTheme="minorHAnsi" w:hAnsi="Georgia" w:cs="Georgia"/>
          <w:color w:val="000000"/>
          <w:sz w:val="20"/>
          <w:szCs w:val="20"/>
        </w:rPr>
        <w:t xml:space="preserve"> </w:t>
      </w:r>
      <w:r w:rsidRPr="00B153AA">
        <w:rPr>
          <w:rFonts w:ascii="Georgia" w:eastAsiaTheme="minorHAnsi" w:hAnsi="Georgia" w:cs="Georgia"/>
          <w:color w:val="000000"/>
          <w:sz w:val="20"/>
          <w:szCs w:val="20"/>
        </w:rPr>
        <w:t xml:space="preserve">could lead to sales of such product provider’s products. </w:t>
      </w:r>
      <w:r>
        <w:rPr>
          <w:rFonts w:ascii="Georgia" w:eastAsiaTheme="minorHAnsi" w:hAnsi="Georgia" w:cs="Georgia"/>
          <w:color w:val="000000"/>
          <w:sz w:val="20"/>
          <w:szCs w:val="20"/>
        </w:rPr>
        <w:t>Although World normally does not engage in this industry wide activity, if such an event should occur, previously established procedures will dictate the review and maintenance of such transaction.</w:t>
      </w:r>
    </w:p>
    <w:p w14:paraId="27A6707B" w14:textId="77777777" w:rsidR="001678E2" w:rsidRDefault="001678E2" w:rsidP="001678E2">
      <w:pPr>
        <w:widowControl/>
        <w:adjustRightInd w:val="0"/>
        <w:rPr>
          <w:rFonts w:ascii="Georgia" w:eastAsiaTheme="minorHAnsi" w:hAnsi="Georgia" w:cs="Georgia"/>
          <w:color w:val="000000"/>
          <w:sz w:val="20"/>
          <w:szCs w:val="20"/>
        </w:rPr>
      </w:pPr>
    </w:p>
    <w:p w14:paraId="3735F407" w14:textId="77777777" w:rsidR="001678E2" w:rsidRDefault="001678E2" w:rsidP="001678E2">
      <w:pPr>
        <w:widowControl/>
        <w:adjustRightInd w:val="0"/>
        <w:rPr>
          <w:rFonts w:ascii="Georgia" w:eastAsiaTheme="minorHAnsi" w:hAnsi="Georgia" w:cs="Georgia"/>
          <w:color w:val="000000"/>
          <w:sz w:val="20"/>
          <w:szCs w:val="20"/>
        </w:rPr>
      </w:pPr>
    </w:p>
    <w:p w14:paraId="2BDF861D" w14:textId="77777777" w:rsidR="001678E2" w:rsidRDefault="001678E2" w:rsidP="001678E2">
      <w:pPr>
        <w:widowControl/>
        <w:adjustRightInd w:val="0"/>
        <w:rPr>
          <w:rFonts w:ascii="Georgia" w:eastAsiaTheme="minorHAnsi" w:hAnsi="Georgia" w:cs="Georgia"/>
          <w:b/>
          <w:sz w:val="20"/>
          <w:szCs w:val="20"/>
        </w:rPr>
      </w:pPr>
      <w:r w:rsidRPr="002F0A55">
        <w:rPr>
          <w:rFonts w:ascii="Georgia" w:eastAsiaTheme="minorHAnsi" w:hAnsi="Georgia" w:cs="Georgia"/>
          <w:b/>
          <w:sz w:val="20"/>
          <w:szCs w:val="20"/>
        </w:rPr>
        <w:t xml:space="preserve">Other </w:t>
      </w:r>
      <w:r>
        <w:rPr>
          <w:rFonts w:ascii="Georgia" w:eastAsiaTheme="minorHAnsi" w:hAnsi="Georgia" w:cs="Georgia"/>
          <w:b/>
          <w:bCs/>
          <w:color w:val="000000"/>
          <w:sz w:val="20"/>
          <w:szCs w:val="20"/>
        </w:rPr>
        <w:t>A</w:t>
      </w:r>
      <w:r w:rsidRPr="00B50E89">
        <w:rPr>
          <w:rFonts w:ascii="Georgia" w:eastAsiaTheme="minorHAnsi" w:hAnsi="Georgia" w:cs="Georgia"/>
          <w:b/>
          <w:bCs/>
          <w:color w:val="000000"/>
          <w:sz w:val="20"/>
          <w:szCs w:val="20"/>
        </w:rPr>
        <w:t xml:space="preserve">ssociated </w:t>
      </w:r>
      <w:r>
        <w:rPr>
          <w:rFonts w:ascii="Georgia" w:eastAsiaTheme="minorHAnsi" w:hAnsi="Georgia" w:cs="Georgia"/>
          <w:b/>
          <w:bCs/>
          <w:color w:val="000000"/>
          <w:sz w:val="20"/>
          <w:szCs w:val="20"/>
        </w:rPr>
        <w:t>P</w:t>
      </w:r>
      <w:r w:rsidRPr="00B50E89">
        <w:rPr>
          <w:rFonts w:ascii="Georgia" w:eastAsiaTheme="minorHAnsi" w:hAnsi="Georgia" w:cs="Georgia"/>
          <w:b/>
          <w:bCs/>
          <w:color w:val="000000"/>
          <w:sz w:val="20"/>
          <w:szCs w:val="20"/>
        </w:rPr>
        <w:t>ersons</w:t>
      </w:r>
      <w:r w:rsidRPr="00C80BD2">
        <w:rPr>
          <w:rFonts w:ascii="Georgia" w:eastAsiaTheme="minorHAnsi" w:hAnsi="Georgia" w:cs="Georgia"/>
          <w:color w:val="000000"/>
          <w:sz w:val="20"/>
          <w:szCs w:val="20"/>
        </w:rPr>
        <w:t xml:space="preserve"> </w:t>
      </w:r>
      <w:r w:rsidRPr="002F0A55">
        <w:rPr>
          <w:rFonts w:ascii="Georgia" w:eastAsiaTheme="minorHAnsi" w:hAnsi="Georgia" w:cs="Georgia"/>
          <w:b/>
          <w:sz w:val="20"/>
          <w:szCs w:val="20"/>
        </w:rPr>
        <w:t>Activities</w:t>
      </w:r>
    </w:p>
    <w:p w14:paraId="3928CAA5" w14:textId="77777777" w:rsidR="001678E2" w:rsidRPr="002F0A55" w:rsidRDefault="001678E2" w:rsidP="001678E2">
      <w:pPr>
        <w:widowControl/>
        <w:adjustRightInd w:val="0"/>
        <w:rPr>
          <w:rFonts w:ascii="Georgia" w:eastAsiaTheme="minorHAnsi" w:hAnsi="Georgia" w:cs="Georgia"/>
          <w:b/>
          <w:sz w:val="20"/>
          <w:szCs w:val="20"/>
        </w:rPr>
      </w:pPr>
    </w:p>
    <w:p w14:paraId="6CF2FA0D" w14:textId="77777777" w:rsidR="001678E2" w:rsidRDefault="001678E2" w:rsidP="001678E2">
      <w:pPr>
        <w:widowControl/>
        <w:adjustRightInd w:val="0"/>
        <w:rPr>
          <w:rFonts w:ascii="Georgia" w:eastAsiaTheme="minorHAnsi" w:hAnsi="Georgia" w:cs="Georgia"/>
          <w:sz w:val="20"/>
          <w:szCs w:val="20"/>
        </w:rPr>
      </w:pPr>
      <w:r>
        <w:rPr>
          <w:rFonts w:ascii="Georgia" w:eastAsiaTheme="minorHAnsi" w:hAnsi="Georgia" w:cs="Georgia"/>
          <w:color w:val="000000"/>
          <w:sz w:val="20"/>
          <w:szCs w:val="20"/>
        </w:rPr>
        <w:t>Associated persons</w:t>
      </w:r>
      <w:r w:rsidRPr="002F0A55">
        <w:rPr>
          <w:rFonts w:ascii="Georgia" w:eastAsiaTheme="minorHAnsi" w:hAnsi="Georgia" w:cs="Georgia"/>
          <w:sz w:val="20"/>
          <w:szCs w:val="20"/>
        </w:rPr>
        <w:t xml:space="preserve"> may be motivated to place trades ahead of clients </w:t>
      </w:r>
      <w:proofErr w:type="gramStart"/>
      <w:r w:rsidRPr="002F0A55">
        <w:rPr>
          <w:rFonts w:ascii="Georgia" w:eastAsiaTheme="minorHAnsi" w:hAnsi="Georgia" w:cs="Georgia"/>
          <w:sz w:val="20"/>
          <w:szCs w:val="20"/>
        </w:rPr>
        <w:t>in order to</w:t>
      </w:r>
      <w:proofErr w:type="gramEnd"/>
      <w:r w:rsidRPr="002F0A55">
        <w:rPr>
          <w:rFonts w:ascii="Georgia" w:eastAsiaTheme="minorHAnsi" w:hAnsi="Georgia" w:cs="Georgia"/>
          <w:sz w:val="20"/>
          <w:szCs w:val="20"/>
        </w:rPr>
        <w:t xml:space="preserve"> receive more favorable prices than their clients.</w:t>
      </w:r>
      <w:r>
        <w:rPr>
          <w:rFonts w:ascii="Georgia" w:eastAsiaTheme="minorHAnsi" w:hAnsi="Georgia" w:cs="Georgia"/>
          <w:sz w:val="20"/>
          <w:szCs w:val="20"/>
        </w:rPr>
        <w:t xml:space="preserve">   Previously established procedures have been implemented to address this.  If in the unlikely event it is determined that the firm has received a price on any transaction during a similar execution time frame, a trade correction will be processed allocating the better price to the customer.</w:t>
      </w:r>
    </w:p>
    <w:p w14:paraId="406FA3F5" w14:textId="77777777" w:rsidR="001678E2" w:rsidRDefault="001678E2" w:rsidP="001678E2">
      <w:pPr>
        <w:widowControl/>
        <w:adjustRightInd w:val="0"/>
        <w:rPr>
          <w:rFonts w:ascii="Georgia" w:eastAsiaTheme="minorHAnsi" w:hAnsi="Georgia" w:cs="Georgia"/>
          <w:sz w:val="20"/>
          <w:szCs w:val="20"/>
        </w:rPr>
      </w:pPr>
    </w:p>
    <w:p w14:paraId="15F1C2C0" w14:textId="77777777" w:rsidR="001678E2" w:rsidRDefault="001678E2" w:rsidP="001678E2">
      <w:pPr>
        <w:widowControl/>
        <w:adjustRightInd w:val="0"/>
        <w:rPr>
          <w:rFonts w:ascii="Georgia" w:eastAsiaTheme="minorHAnsi" w:hAnsi="Georgia" w:cs="Georgia"/>
          <w:sz w:val="20"/>
          <w:szCs w:val="20"/>
        </w:rPr>
      </w:pPr>
    </w:p>
    <w:p w14:paraId="76C903EF" w14:textId="77777777" w:rsidR="001678E2" w:rsidRPr="002F0A55" w:rsidRDefault="001678E2" w:rsidP="001678E2">
      <w:pPr>
        <w:widowControl/>
        <w:adjustRightInd w:val="0"/>
        <w:rPr>
          <w:rFonts w:ascii="Georgia" w:eastAsiaTheme="minorHAnsi" w:hAnsi="Georgia" w:cs="Georgia"/>
          <w:sz w:val="20"/>
          <w:szCs w:val="20"/>
        </w:rPr>
      </w:pPr>
      <w:r>
        <w:rPr>
          <w:rFonts w:ascii="Georgia" w:eastAsiaTheme="minorHAnsi" w:hAnsi="Georgia" w:cs="Georgia"/>
          <w:sz w:val="20"/>
          <w:szCs w:val="20"/>
        </w:rPr>
        <w:lastRenderedPageBreak/>
        <w:t>Industry noted i</w:t>
      </w:r>
      <w:r w:rsidRPr="002F0A55">
        <w:rPr>
          <w:rFonts w:ascii="Georgia" w:eastAsiaTheme="minorHAnsi" w:hAnsi="Georgia" w:cs="Georgia"/>
          <w:sz w:val="20"/>
          <w:szCs w:val="20"/>
        </w:rPr>
        <w:t xml:space="preserve">nternal campaigns and recognition efforts incentivize financial advisors to engage in activities to reach incentive goals. </w:t>
      </w:r>
      <w:r>
        <w:rPr>
          <w:rFonts w:ascii="Georgia" w:eastAsiaTheme="minorHAnsi" w:hAnsi="Georgia" w:cs="Georgia"/>
          <w:sz w:val="20"/>
          <w:szCs w:val="20"/>
        </w:rPr>
        <w:t xml:space="preserve"> World does not engage in any internal campaign, sales </w:t>
      </w:r>
      <w:proofErr w:type="gramStart"/>
      <w:r>
        <w:rPr>
          <w:rFonts w:ascii="Georgia" w:eastAsiaTheme="minorHAnsi" w:hAnsi="Georgia" w:cs="Georgia"/>
          <w:sz w:val="20"/>
          <w:szCs w:val="20"/>
        </w:rPr>
        <w:t>contests</w:t>
      </w:r>
      <w:proofErr w:type="gramEnd"/>
      <w:r>
        <w:rPr>
          <w:rFonts w:ascii="Georgia" w:eastAsiaTheme="minorHAnsi" w:hAnsi="Georgia" w:cs="Georgia"/>
          <w:sz w:val="20"/>
          <w:szCs w:val="20"/>
        </w:rPr>
        <w:t xml:space="preserve"> or recognition goal incentives.</w:t>
      </w:r>
    </w:p>
    <w:p w14:paraId="18A8CCE8" w14:textId="77777777" w:rsidR="001678E2" w:rsidRDefault="001678E2" w:rsidP="001678E2">
      <w:pPr>
        <w:widowControl/>
        <w:adjustRightInd w:val="0"/>
        <w:rPr>
          <w:rFonts w:ascii="Georgia" w:eastAsiaTheme="minorHAnsi" w:hAnsi="Georgia" w:cs="Georgia"/>
          <w:color w:val="FF0000"/>
          <w:sz w:val="20"/>
          <w:szCs w:val="20"/>
        </w:rPr>
      </w:pPr>
    </w:p>
    <w:p w14:paraId="1EC9951C" w14:textId="77777777" w:rsidR="001678E2" w:rsidRDefault="001678E2" w:rsidP="001678E2">
      <w:pPr>
        <w:widowControl/>
        <w:adjustRightInd w:val="0"/>
        <w:rPr>
          <w:rFonts w:ascii="Georgia" w:eastAsiaTheme="minorHAnsi" w:hAnsi="Georgia" w:cs="Georgia"/>
          <w:color w:val="000000"/>
          <w:sz w:val="20"/>
          <w:szCs w:val="20"/>
        </w:rPr>
      </w:pPr>
    </w:p>
    <w:p w14:paraId="7BF40FD6" w14:textId="77777777" w:rsidR="001678E2" w:rsidRDefault="001678E2" w:rsidP="001678E2">
      <w:pPr>
        <w:pStyle w:val="Heading1"/>
        <w:ind w:left="0"/>
        <w:rPr>
          <w:rFonts w:ascii="Georgia" w:hAnsi="Georgia"/>
          <w:sz w:val="36"/>
          <w:szCs w:val="36"/>
          <w:u w:val="none"/>
        </w:rPr>
      </w:pPr>
    </w:p>
    <w:p w14:paraId="5D108E02" w14:textId="77777777" w:rsidR="001678E2" w:rsidRPr="00EA5CF4" w:rsidRDefault="001678E2" w:rsidP="001678E2">
      <w:pPr>
        <w:pStyle w:val="Heading1"/>
        <w:ind w:left="0"/>
        <w:jc w:val="center"/>
        <w:rPr>
          <w:rFonts w:ascii="Georgia" w:hAnsi="Georgia"/>
          <w:sz w:val="36"/>
          <w:szCs w:val="36"/>
          <w:u w:val="none"/>
        </w:rPr>
      </w:pPr>
      <w:r>
        <w:rPr>
          <w:rFonts w:ascii="Georgia" w:hAnsi="Georgia"/>
          <w:sz w:val="36"/>
          <w:szCs w:val="36"/>
          <w:u w:val="none"/>
        </w:rPr>
        <w:t>Additional Resources</w:t>
      </w:r>
    </w:p>
    <w:p w14:paraId="5F24D9F0" w14:textId="77777777" w:rsidR="001678E2" w:rsidRPr="009D6737" w:rsidRDefault="001678E2" w:rsidP="001678E2">
      <w:pPr>
        <w:pStyle w:val="Default"/>
        <w:ind w:left="120"/>
        <w:rPr>
          <w:rFonts w:ascii="Georgia" w:eastAsia="Arial" w:hAnsi="Georgia" w:cs="Arial"/>
          <w:bCs/>
          <w:color w:val="auto"/>
          <w:sz w:val="20"/>
          <w:szCs w:val="20"/>
        </w:rPr>
      </w:pPr>
    </w:p>
    <w:tbl>
      <w:tblPr>
        <w:tblStyle w:val="TableGrid"/>
        <w:tblW w:w="10165" w:type="dxa"/>
        <w:tblLayout w:type="fixed"/>
        <w:tblLook w:val="04A0" w:firstRow="1" w:lastRow="0" w:firstColumn="1" w:lastColumn="0" w:noHBand="0" w:noVBand="1"/>
      </w:tblPr>
      <w:tblGrid>
        <w:gridCol w:w="5755"/>
        <w:gridCol w:w="4410"/>
      </w:tblGrid>
      <w:tr w:rsidR="001678E2" w14:paraId="299401EB" w14:textId="77777777" w:rsidTr="005546CB">
        <w:trPr>
          <w:trHeight w:val="380"/>
        </w:trPr>
        <w:tc>
          <w:tcPr>
            <w:tcW w:w="5755" w:type="dxa"/>
            <w:tcBorders>
              <w:bottom w:val="nil"/>
            </w:tcBorders>
            <w:shd w:val="clear" w:color="auto" w:fill="BFBFBF" w:themeFill="background1" w:themeFillShade="BF"/>
          </w:tcPr>
          <w:p w14:paraId="23C9A5A7" w14:textId="77777777" w:rsidR="001678E2" w:rsidRPr="002B62FF" w:rsidRDefault="001678E2" w:rsidP="005546CB">
            <w:pPr>
              <w:pStyle w:val="Default"/>
              <w:rPr>
                <w:rFonts w:ascii="Georgia" w:eastAsia="Arial" w:hAnsi="Georgia" w:cs="Arial"/>
                <w:bCs/>
                <w:color w:val="auto"/>
              </w:rPr>
            </w:pPr>
            <w:r w:rsidRPr="002B62FF">
              <w:rPr>
                <w:rFonts w:ascii="Georgia" w:eastAsia="Arial" w:hAnsi="Georgia" w:cs="Arial"/>
                <w:bCs/>
                <w:color w:val="auto"/>
              </w:rPr>
              <w:t>Title</w:t>
            </w:r>
          </w:p>
        </w:tc>
        <w:tc>
          <w:tcPr>
            <w:tcW w:w="4410" w:type="dxa"/>
            <w:tcBorders>
              <w:bottom w:val="nil"/>
            </w:tcBorders>
            <w:shd w:val="clear" w:color="auto" w:fill="BFBFBF" w:themeFill="background1" w:themeFillShade="BF"/>
          </w:tcPr>
          <w:p w14:paraId="09E4CCDD" w14:textId="77777777" w:rsidR="001678E2" w:rsidRPr="002B62FF" w:rsidRDefault="001678E2" w:rsidP="005546CB">
            <w:pPr>
              <w:pStyle w:val="Default"/>
              <w:rPr>
                <w:rFonts w:ascii="Georgia" w:eastAsia="Arial" w:hAnsi="Georgia" w:cs="Arial"/>
                <w:bCs/>
                <w:color w:val="auto"/>
              </w:rPr>
            </w:pPr>
            <w:r w:rsidRPr="002B62FF">
              <w:rPr>
                <w:rFonts w:ascii="Georgia" w:eastAsia="Arial" w:hAnsi="Georgia" w:cs="Arial"/>
                <w:bCs/>
                <w:color w:val="auto"/>
              </w:rPr>
              <w:t>Web address</w:t>
            </w:r>
          </w:p>
        </w:tc>
      </w:tr>
      <w:tr w:rsidR="001678E2" w14:paraId="4ABA7EF4" w14:textId="77777777" w:rsidTr="005546CB">
        <w:trPr>
          <w:trHeight w:val="363"/>
        </w:trPr>
        <w:tc>
          <w:tcPr>
            <w:tcW w:w="5755" w:type="dxa"/>
            <w:tcBorders>
              <w:top w:val="nil"/>
              <w:left w:val="nil"/>
              <w:bottom w:val="nil"/>
              <w:right w:val="nil"/>
            </w:tcBorders>
          </w:tcPr>
          <w:p w14:paraId="2E1A60B9" w14:textId="77777777" w:rsidR="001678E2" w:rsidRPr="00FF7061" w:rsidRDefault="001678E2" w:rsidP="005546CB">
            <w:pPr>
              <w:pStyle w:val="Default"/>
              <w:rPr>
                <w:rFonts w:ascii="Georgia" w:eastAsia="Arial" w:hAnsi="Georgia" w:cs="Arial"/>
                <w:bCs/>
                <w:color w:val="auto"/>
                <w:sz w:val="20"/>
                <w:szCs w:val="20"/>
              </w:rPr>
            </w:pPr>
            <w:r w:rsidRPr="00FF7061">
              <w:rPr>
                <w:rFonts w:ascii="Georgia" w:eastAsia="Arial" w:hAnsi="Georgia" w:cs="Arial"/>
                <w:bCs/>
                <w:color w:val="auto"/>
                <w:sz w:val="20"/>
                <w:szCs w:val="20"/>
              </w:rPr>
              <w:t xml:space="preserve"> Form CRS</w:t>
            </w:r>
          </w:p>
        </w:tc>
        <w:tc>
          <w:tcPr>
            <w:tcW w:w="4410" w:type="dxa"/>
            <w:tcBorders>
              <w:top w:val="nil"/>
              <w:left w:val="nil"/>
              <w:bottom w:val="nil"/>
              <w:right w:val="nil"/>
            </w:tcBorders>
          </w:tcPr>
          <w:p w14:paraId="44FD7691" w14:textId="7728FFF3" w:rsidR="001678E2" w:rsidRPr="00FF7061" w:rsidRDefault="001678E2" w:rsidP="005546CB">
            <w:pPr>
              <w:pStyle w:val="Default"/>
              <w:rPr>
                <w:rFonts w:ascii="Georgia" w:eastAsia="Arial" w:hAnsi="Georgia" w:cs="Arial"/>
                <w:bCs/>
                <w:color w:val="auto"/>
                <w:sz w:val="20"/>
                <w:szCs w:val="20"/>
              </w:rPr>
            </w:pPr>
            <w:hyperlink r:id="rId7" w:history="1">
              <w:r w:rsidRPr="003B7F75">
                <w:rPr>
                  <w:rStyle w:val="Hyperlink"/>
                  <w:rFonts w:ascii="Georgia" w:eastAsia="Arial" w:hAnsi="Georgia" w:cs="Arial"/>
                  <w:bCs/>
                  <w:sz w:val="20"/>
                  <w:szCs w:val="20"/>
                </w:rPr>
                <w:t>www.worldfinancial.net</w:t>
              </w:r>
            </w:hyperlink>
          </w:p>
        </w:tc>
      </w:tr>
      <w:tr w:rsidR="001678E2" w14:paraId="2B9099EA" w14:textId="77777777" w:rsidTr="005546CB">
        <w:trPr>
          <w:trHeight w:val="354"/>
        </w:trPr>
        <w:tc>
          <w:tcPr>
            <w:tcW w:w="5755" w:type="dxa"/>
            <w:tcBorders>
              <w:top w:val="nil"/>
              <w:left w:val="nil"/>
              <w:bottom w:val="nil"/>
              <w:right w:val="nil"/>
            </w:tcBorders>
          </w:tcPr>
          <w:p w14:paraId="6FA52E27" w14:textId="77777777" w:rsidR="001678E2" w:rsidRPr="00FF7061" w:rsidRDefault="001678E2" w:rsidP="005546CB">
            <w:pPr>
              <w:pStyle w:val="Default"/>
              <w:rPr>
                <w:rFonts w:ascii="Georgia" w:eastAsia="Arial" w:hAnsi="Georgia" w:cs="Arial"/>
                <w:bCs/>
                <w:color w:val="auto"/>
                <w:sz w:val="20"/>
                <w:szCs w:val="20"/>
              </w:rPr>
            </w:pPr>
            <w:r w:rsidRPr="00FF7061">
              <w:rPr>
                <w:rFonts w:ascii="Georgia" w:eastAsia="Arial" w:hAnsi="Georgia" w:cs="Arial"/>
                <w:bCs/>
                <w:color w:val="auto"/>
                <w:sz w:val="20"/>
                <w:szCs w:val="20"/>
              </w:rPr>
              <w:t>Legal Disclosures</w:t>
            </w:r>
          </w:p>
        </w:tc>
        <w:tc>
          <w:tcPr>
            <w:tcW w:w="4410" w:type="dxa"/>
            <w:tcBorders>
              <w:top w:val="nil"/>
              <w:left w:val="nil"/>
              <w:bottom w:val="nil"/>
              <w:right w:val="nil"/>
            </w:tcBorders>
          </w:tcPr>
          <w:p w14:paraId="2EE8945E" w14:textId="5EBC07C2" w:rsidR="001678E2" w:rsidRPr="00FF7061" w:rsidRDefault="001678E2" w:rsidP="005546CB">
            <w:pPr>
              <w:pStyle w:val="Default"/>
              <w:rPr>
                <w:rFonts w:ascii="Georgia" w:eastAsia="Arial" w:hAnsi="Georgia" w:cs="Arial"/>
                <w:bCs/>
                <w:color w:val="auto"/>
                <w:sz w:val="20"/>
                <w:szCs w:val="20"/>
              </w:rPr>
            </w:pPr>
            <w:hyperlink r:id="rId8" w:history="1">
              <w:r w:rsidRPr="003B7F75">
                <w:rPr>
                  <w:rStyle w:val="Hyperlink"/>
                  <w:rFonts w:ascii="Georgia" w:eastAsia="Arial" w:hAnsi="Georgia" w:cs="Arial"/>
                  <w:bCs/>
                  <w:sz w:val="20"/>
                  <w:szCs w:val="20"/>
                </w:rPr>
                <w:t>www.worldfinancial.net</w:t>
              </w:r>
            </w:hyperlink>
          </w:p>
        </w:tc>
      </w:tr>
      <w:tr w:rsidR="001678E2" w14:paraId="766860FA" w14:textId="77777777" w:rsidTr="005546CB">
        <w:trPr>
          <w:trHeight w:val="324"/>
        </w:trPr>
        <w:tc>
          <w:tcPr>
            <w:tcW w:w="5755" w:type="dxa"/>
            <w:tcBorders>
              <w:top w:val="nil"/>
              <w:left w:val="nil"/>
              <w:bottom w:val="nil"/>
              <w:right w:val="nil"/>
            </w:tcBorders>
          </w:tcPr>
          <w:p w14:paraId="656D6F96" w14:textId="071170E7" w:rsidR="001678E2" w:rsidRPr="00FF7061" w:rsidRDefault="001678E2" w:rsidP="005546CB">
            <w:pPr>
              <w:pStyle w:val="Default"/>
              <w:rPr>
                <w:rFonts w:ascii="Georgia" w:eastAsia="Arial" w:hAnsi="Georgia" w:cs="Arial"/>
                <w:bCs/>
                <w:color w:val="auto"/>
                <w:sz w:val="20"/>
                <w:szCs w:val="20"/>
              </w:rPr>
            </w:pPr>
            <w:r>
              <w:rPr>
                <w:rFonts w:ascii="Georgia" w:eastAsia="Arial" w:hAnsi="Georgia" w:cs="Arial"/>
                <w:bCs/>
                <w:color w:val="auto"/>
                <w:sz w:val="20"/>
                <w:szCs w:val="20"/>
              </w:rPr>
              <w:t>Margin Disclosure</w:t>
            </w:r>
          </w:p>
        </w:tc>
        <w:tc>
          <w:tcPr>
            <w:tcW w:w="4410" w:type="dxa"/>
            <w:tcBorders>
              <w:top w:val="nil"/>
              <w:left w:val="nil"/>
              <w:bottom w:val="nil"/>
              <w:right w:val="nil"/>
            </w:tcBorders>
          </w:tcPr>
          <w:p w14:paraId="325EB592" w14:textId="1CF77B48" w:rsidR="001678E2" w:rsidRPr="00FF7061" w:rsidRDefault="001678E2" w:rsidP="005546CB">
            <w:pPr>
              <w:pStyle w:val="Default"/>
              <w:rPr>
                <w:rFonts w:ascii="Georgia" w:eastAsia="Arial" w:hAnsi="Georgia" w:cs="Arial"/>
                <w:bCs/>
                <w:color w:val="auto"/>
                <w:sz w:val="20"/>
                <w:szCs w:val="20"/>
              </w:rPr>
            </w:pPr>
            <w:r>
              <w:rPr>
                <w:rFonts w:ascii="Georgia" w:eastAsia="Arial" w:hAnsi="Georgia" w:cs="Arial"/>
                <w:bCs/>
                <w:color w:val="auto"/>
                <w:sz w:val="20"/>
                <w:szCs w:val="20"/>
              </w:rPr>
              <w:t>www.worldfinancial.net</w:t>
            </w:r>
          </w:p>
        </w:tc>
      </w:tr>
      <w:tr w:rsidR="001678E2" w14:paraId="4D70D612" w14:textId="77777777" w:rsidTr="005546CB">
        <w:trPr>
          <w:trHeight w:val="486"/>
        </w:trPr>
        <w:tc>
          <w:tcPr>
            <w:tcW w:w="5755" w:type="dxa"/>
            <w:tcBorders>
              <w:top w:val="nil"/>
              <w:left w:val="nil"/>
              <w:bottom w:val="nil"/>
              <w:right w:val="nil"/>
            </w:tcBorders>
          </w:tcPr>
          <w:p w14:paraId="1D5D46D7" w14:textId="77777777" w:rsidR="001678E2" w:rsidRPr="00FF7061" w:rsidRDefault="001678E2" w:rsidP="005546CB">
            <w:pPr>
              <w:pStyle w:val="Default"/>
              <w:rPr>
                <w:rFonts w:ascii="Georgia" w:eastAsia="Arial" w:hAnsi="Georgia" w:cs="Arial"/>
                <w:bCs/>
                <w:color w:val="auto"/>
                <w:sz w:val="20"/>
                <w:szCs w:val="20"/>
              </w:rPr>
            </w:pPr>
            <w:r w:rsidRPr="00FF7061">
              <w:rPr>
                <w:rFonts w:ascii="Georgia" w:eastAsia="Arial" w:hAnsi="Georgia" w:cs="Arial"/>
                <w:bCs/>
                <w:color w:val="auto"/>
                <w:sz w:val="20"/>
                <w:szCs w:val="20"/>
              </w:rPr>
              <w:t>Cash Sweep Program</w:t>
            </w:r>
          </w:p>
        </w:tc>
        <w:tc>
          <w:tcPr>
            <w:tcW w:w="4410" w:type="dxa"/>
            <w:tcBorders>
              <w:top w:val="nil"/>
              <w:left w:val="nil"/>
              <w:bottom w:val="nil"/>
              <w:right w:val="nil"/>
            </w:tcBorders>
          </w:tcPr>
          <w:p w14:paraId="1E736EDD" w14:textId="5EE4BB98" w:rsidR="001678E2" w:rsidRPr="00FF7061" w:rsidRDefault="001678E2" w:rsidP="005546CB">
            <w:pPr>
              <w:pStyle w:val="Default"/>
              <w:rPr>
                <w:rFonts w:ascii="Georgia" w:eastAsia="Arial" w:hAnsi="Georgia" w:cs="Arial"/>
                <w:bCs/>
                <w:color w:val="auto"/>
                <w:sz w:val="20"/>
                <w:szCs w:val="20"/>
              </w:rPr>
            </w:pPr>
            <w:r>
              <w:rPr>
                <w:rFonts w:ascii="Georgia" w:eastAsia="Arial" w:hAnsi="Georgia" w:cs="Arial"/>
                <w:bCs/>
                <w:color w:val="auto"/>
                <w:sz w:val="20"/>
                <w:szCs w:val="20"/>
              </w:rPr>
              <w:t>www.worldfinancial.net</w:t>
            </w:r>
          </w:p>
        </w:tc>
      </w:tr>
      <w:tr w:rsidR="001678E2" w14:paraId="2F4E03AA" w14:textId="77777777" w:rsidTr="005546CB">
        <w:trPr>
          <w:trHeight w:val="629"/>
        </w:trPr>
        <w:tc>
          <w:tcPr>
            <w:tcW w:w="5755" w:type="dxa"/>
            <w:tcBorders>
              <w:top w:val="nil"/>
              <w:left w:val="nil"/>
              <w:bottom w:val="nil"/>
              <w:right w:val="nil"/>
            </w:tcBorders>
          </w:tcPr>
          <w:p w14:paraId="6CA429FB" w14:textId="52933578" w:rsidR="001678E2" w:rsidRDefault="001678E2" w:rsidP="005546CB">
            <w:pPr>
              <w:pStyle w:val="Default"/>
              <w:rPr>
                <w:rFonts w:ascii="Georgia" w:eastAsia="Arial" w:hAnsi="Georgia" w:cs="Arial"/>
                <w:bCs/>
                <w:color w:val="auto"/>
                <w:sz w:val="20"/>
                <w:szCs w:val="20"/>
              </w:rPr>
            </w:pPr>
            <w:r>
              <w:rPr>
                <w:rFonts w:ascii="Georgia" w:eastAsia="Arial" w:hAnsi="Georgia" w:cs="Arial"/>
                <w:bCs/>
                <w:color w:val="auto"/>
                <w:sz w:val="20"/>
                <w:szCs w:val="20"/>
              </w:rPr>
              <w:t>Commission Schedules</w:t>
            </w:r>
            <w:r w:rsidR="00691582">
              <w:rPr>
                <w:rFonts w:ascii="Georgia" w:eastAsia="Arial" w:hAnsi="Georgia" w:cs="Arial"/>
                <w:bCs/>
                <w:color w:val="auto"/>
                <w:sz w:val="20"/>
                <w:szCs w:val="20"/>
              </w:rPr>
              <w:t xml:space="preserve"> &amp;</w:t>
            </w:r>
          </w:p>
          <w:p w14:paraId="351A5123" w14:textId="63B52C5A" w:rsidR="001678E2" w:rsidRPr="00FF7061" w:rsidRDefault="001678E2" w:rsidP="005546CB">
            <w:pPr>
              <w:pStyle w:val="Default"/>
              <w:rPr>
                <w:rFonts w:ascii="Georgia" w:eastAsia="Arial" w:hAnsi="Georgia" w:cs="Arial"/>
                <w:bCs/>
                <w:color w:val="auto"/>
                <w:sz w:val="20"/>
                <w:szCs w:val="20"/>
              </w:rPr>
            </w:pPr>
            <w:r>
              <w:rPr>
                <w:rFonts w:ascii="Georgia" w:eastAsia="Arial" w:hAnsi="Georgia" w:cs="Arial"/>
                <w:bCs/>
                <w:color w:val="auto"/>
                <w:sz w:val="20"/>
                <w:szCs w:val="20"/>
              </w:rPr>
              <w:t>Administrative &amp; Service Fee Schedules</w:t>
            </w:r>
            <w:r w:rsidR="00691582">
              <w:rPr>
                <w:rFonts w:ascii="Georgia" w:eastAsia="Arial" w:hAnsi="Georgia" w:cs="Arial"/>
                <w:bCs/>
                <w:color w:val="auto"/>
                <w:sz w:val="20"/>
                <w:szCs w:val="20"/>
              </w:rPr>
              <w:t xml:space="preserve">                                                                         </w:t>
            </w:r>
          </w:p>
        </w:tc>
        <w:tc>
          <w:tcPr>
            <w:tcW w:w="4410" w:type="dxa"/>
            <w:tcBorders>
              <w:top w:val="nil"/>
              <w:left w:val="nil"/>
              <w:bottom w:val="nil"/>
              <w:right w:val="nil"/>
            </w:tcBorders>
          </w:tcPr>
          <w:p w14:paraId="3C76F4D4" w14:textId="77777777" w:rsidR="00691582" w:rsidRDefault="00691582" w:rsidP="005546CB">
            <w:pPr>
              <w:pStyle w:val="Default"/>
              <w:rPr>
                <w:rFonts w:ascii="Georgia" w:eastAsia="Arial" w:hAnsi="Georgia" w:cs="Arial"/>
                <w:bCs/>
                <w:color w:val="auto"/>
                <w:sz w:val="20"/>
                <w:szCs w:val="20"/>
              </w:rPr>
            </w:pPr>
          </w:p>
          <w:p w14:paraId="4DA78960" w14:textId="482FC632" w:rsidR="001678E2" w:rsidRPr="00FF7061" w:rsidRDefault="00691582" w:rsidP="005546CB">
            <w:pPr>
              <w:pStyle w:val="Default"/>
              <w:rPr>
                <w:rFonts w:ascii="Georgia" w:eastAsia="Arial" w:hAnsi="Georgia" w:cs="Arial"/>
                <w:bCs/>
                <w:color w:val="auto"/>
                <w:sz w:val="20"/>
                <w:szCs w:val="20"/>
              </w:rPr>
            </w:pPr>
            <w:hyperlink r:id="rId9" w:history="1">
              <w:r w:rsidRPr="003B7F75">
                <w:rPr>
                  <w:rStyle w:val="Hyperlink"/>
                  <w:rFonts w:ascii="Georgia" w:eastAsia="Arial" w:hAnsi="Georgia" w:cs="Arial"/>
                  <w:bCs/>
                  <w:sz w:val="20"/>
                  <w:szCs w:val="20"/>
                </w:rPr>
                <w:t>www.worldfinancial.net</w:t>
              </w:r>
            </w:hyperlink>
          </w:p>
        </w:tc>
      </w:tr>
      <w:tr w:rsidR="001678E2" w14:paraId="079F6173" w14:textId="77777777" w:rsidTr="005546CB">
        <w:trPr>
          <w:trHeight w:val="864"/>
        </w:trPr>
        <w:tc>
          <w:tcPr>
            <w:tcW w:w="5755" w:type="dxa"/>
            <w:tcBorders>
              <w:top w:val="nil"/>
              <w:left w:val="nil"/>
              <w:bottom w:val="nil"/>
              <w:right w:val="nil"/>
            </w:tcBorders>
          </w:tcPr>
          <w:p w14:paraId="5EEF57CA" w14:textId="77777777" w:rsidR="001678E2" w:rsidRPr="00FF7061" w:rsidRDefault="001678E2" w:rsidP="005546CB">
            <w:pPr>
              <w:pStyle w:val="Default"/>
              <w:rPr>
                <w:rFonts w:ascii="Georgia" w:eastAsia="Arial" w:hAnsi="Georgia" w:cs="Arial"/>
                <w:bCs/>
                <w:color w:val="auto"/>
                <w:sz w:val="20"/>
                <w:szCs w:val="20"/>
              </w:rPr>
            </w:pPr>
          </w:p>
        </w:tc>
        <w:tc>
          <w:tcPr>
            <w:tcW w:w="4410" w:type="dxa"/>
            <w:tcBorders>
              <w:top w:val="nil"/>
              <w:left w:val="nil"/>
              <w:bottom w:val="nil"/>
              <w:right w:val="nil"/>
            </w:tcBorders>
          </w:tcPr>
          <w:p w14:paraId="1F07C1B8" w14:textId="77777777" w:rsidR="001678E2" w:rsidRPr="00FF7061" w:rsidRDefault="001678E2" w:rsidP="005546CB">
            <w:pPr>
              <w:pStyle w:val="Default"/>
              <w:rPr>
                <w:rFonts w:ascii="Georgia" w:eastAsia="Arial" w:hAnsi="Georgia" w:cs="Arial"/>
                <w:bCs/>
                <w:color w:val="auto"/>
                <w:sz w:val="20"/>
                <w:szCs w:val="20"/>
              </w:rPr>
            </w:pPr>
          </w:p>
        </w:tc>
      </w:tr>
      <w:tr w:rsidR="001678E2" w14:paraId="64046721" w14:textId="77777777" w:rsidTr="005546CB">
        <w:trPr>
          <w:trHeight w:val="170"/>
        </w:trPr>
        <w:tc>
          <w:tcPr>
            <w:tcW w:w="5755" w:type="dxa"/>
            <w:tcBorders>
              <w:top w:val="nil"/>
              <w:left w:val="nil"/>
              <w:bottom w:val="nil"/>
              <w:right w:val="nil"/>
            </w:tcBorders>
          </w:tcPr>
          <w:p w14:paraId="086A35B3" w14:textId="77777777" w:rsidR="001678E2" w:rsidRPr="00FF7061" w:rsidRDefault="001678E2" w:rsidP="005546CB">
            <w:pPr>
              <w:pStyle w:val="Default"/>
              <w:rPr>
                <w:rFonts w:ascii="Georgia" w:eastAsia="Arial" w:hAnsi="Georgia" w:cs="Arial"/>
                <w:b/>
                <w:bCs/>
                <w:color w:val="auto"/>
                <w:sz w:val="20"/>
                <w:szCs w:val="20"/>
              </w:rPr>
            </w:pPr>
          </w:p>
        </w:tc>
        <w:tc>
          <w:tcPr>
            <w:tcW w:w="4410" w:type="dxa"/>
            <w:tcBorders>
              <w:top w:val="nil"/>
              <w:left w:val="nil"/>
              <w:bottom w:val="nil"/>
              <w:right w:val="nil"/>
            </w:tcBorders>
          </w:tcPr>
          <w:p w14:paraId="6D9ABAFD" w14:textId="77777777" w:rsidR="001678E2" w:rsidRPr="00FF7061" w:rsidRDefault="001678E2" w:rsidP="005546CB">
            <w:pPr>
              <w:pStyle w:val="Default"/>
              <w:rPr>
                <w:rFonts w:ascii="Georgia" w:eastAsia="Arial" w:hAnsi="Georgia" w:cs="Arial"/>
                <w:bCs/>
                <w:color w:val="auto"/>
                <w:sz w:val="20"/>
                <w:szCs w:val="20"/>
              </w:rPr>
            </w:pPr>
          </w:p>
        </w:tc>
      </w:tr>
      <w:tr w:rsidR="001678E2" w14:paraId="45F00148" w14:textId="77777777" w:rsidTr="005546CB">
        <w:trPr>
          <w:trHeight w:val="1970"/>
        </w:trPr>
        <w:tc>
          <w:tcPr>
            <w:tcW w:w="5755" w:type="dxa"/>
            <w:tcBorders>
              <w:top w:val="nil"/>
              <w:left w:val="nil"/>
              <w:bottom w:val="nil"/>
              <w:right w:val="nil"/>
            </w:tcBorders>
            <w:vAlign w:val="center"/>
          </w:tcPr>
          <w:p w14:paraId="17F55A7F" w14:textId="77777777" w:rsidR="001678E2" w:rsidRPr="00FF7061" w:rsidRDefault="001678E2" w:rsidP="005546CB">
            <w:pPr>
              <w:pStyle w:val="Default"/>
              <w:rPr>
                <w:rFonts w:ascii="Georgia" w:eastAsia="Arial" w:hAnsi="Georgia" w:cs="Arial"/>
                <w:bCs/>
                <w:color w:val="auto"/>
                <w:sz w:val="20"/>
                <w:szCs w:val="20"/>
              </w:rPr>
            </w:pPr>
          </w:p>
        </w:tc>
        <w:tc>
          <w:tcPr>
            <w:tcW w:w="4410" w:type="dxa"/>
            <w:tcBorders>
              <w:top w:val="nil"/>
              <w:left w:val="nil"/>
              <w:bottom w:val="nil"/>
              <w:right w:val="nil"/>
            </w:tcBorders>
            <w:vAlign w:val="center"/>
          </w:tcPr>
          <w:p w14:paraId="3A9D7721" w14:textId="77777777" w:rsidR="001678E2" w:rsidRPr="00FF7061" w:rsidRDefault="001678E2" w:rsidP="005546CB">
            <w:pPr>
              <w:pStyle w:val="Default"/>
              <w:rPr>
                <w:rFonts w:ascii="Georgia" w:eastAsia="Arial" w:hAnsi="Georgia" w:cs="Arial"/>
                <w:bCs/>
                <w:color w:val="auto"/>
                <w:sz w:val="20"/>
                <w:szCs w:val="20"/>
              </w:rPr>
            </w:pPr>
          </w:p>
        </w:tc>
      </w:tr>
    </w:tbl>
    <w:p w14:paraId="56BF764D" w14:textId="77777777" w:rsidR="001678E2" w:rsidRDefault="001678E2"/>
    <w:sectPr w:rsidR="001678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51F32" w14:textId="77777777" w:rsidR="001678E2" w:rsidRDefault="001678E2" w:rsidP="001678E2">
      <w:r>
        <w:separator/>
      </w:r>
    </w:p>
  </w:endnote>
  <w:endnote w:type="continuationSeparator" w:id="0">
    <w:p w14:paraId="19ACE072" w14:textId="77777777" w:rsidR="001678E2" w:rsidRDefault="001678E2" w:rsidP="0016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Book">
    <w:altName w:val="Archer Book"/>
    <w:panose1 w:val="00000000000000000000"/>
    <w:charset w:val="00"/>
    <w:family w:val="modern"/>
    <w:notTrueType/>
    <w:pitch w:val="variable"/>
    <w:sig w:usb0="00000001" w:usb1="4000004A" w:usb2="00000000" w:usb3="00000000" w:csb0="0000008B"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0EA66" w14:textId="77777777" w:rsidR="001678E2" w:rsidRDefault="001678E2" w:rsidP="001678E2">
      <w:r>
        <w:separator/>
      </w:r>
    </w:p>
  </w:footnote>
  <w:footnote w:type="continuationSeparator" w:id="0">
    <w:p w14:paraId="64A17129" w14:textId="77777777" w:rsidR="001678E2" w:rsidRDefault="001678E2" w:rsidP="001678E2">
      <w:r>
        <w:continuationSeparator/>
      </w:r>
    </w:p>
  </w:footnote>
  <w:footnote w:id="1">
    <w:p w14:paraId="236E0E42" w14:textId="77777777" w:rsidR="001678E2" w:rsidRPr="005324D7" w:rsidRDefault="001678E2" w:rsidP="001678E2">
      <w:pPr>
        <w:pStyle w:val="FootnoteText"/>
        <w:rPr>
          <w:sz w:val="16"/>
          <w:szCs w:val="16"/>
        </w:rPr>
      </w:pPr>
      <w:r w:rsidRPr="005324D7">
        <w:rPr>
          <w:rStyle w:val="FootnoteReference"/>
          <w:sz w:val="16"/>
          <w:szCs w:val="16"/>
        </w:rPr>
        <w:footnoteRef/>
      </w:r>
      <w:r w:rsidRPr="005324D7">
        <w:rPr>
          <w:sz w:val="16"/>
          <w:szCs w:val="16"/>
        </w:rPr>
        <w:t xml:space="preserve"> First Clearing is a tradename used by Wells Fargo Clearing Services, LLC.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A0CC4"/>
    <w:multiLevelType w:val="hybridMultilevel"/>
    <w:tmpl w:val="EBD2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A277E"/>
    <w:multiLevelType w:val="hybridMultilevel"/>
    <w:tmpl w:val="A57E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50703"/>
    <w:multiLevelType w:val="hybridMultilevel"/>
    <w:tmpl w:val="3C3AF2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8E2"/>
    <w:rsid w:val="001678E2"/>
    <w:rsid w:val="0069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497B"/>
  <w15:chartTrackingRefBased/>
  <w15:docId w15:val="{0037144F-60FC-4A19-B98A-DADF5003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678E2"/>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1678E2"/>
    <w:pPr>
      <w:ind w:left="120"/>
      <w:outlineLvl w:val="0"/>
    </w:pPr>
    <w:rPr>
      <w:b/>
      <w:bCs/>
      <w:sz w:val="24"/>
      <w:szCs w:val="24"/>
      <w:u w:val="single" w:color="000000"/>
    </w:rPr>
  </w:style>
  <w:style w:type="paragraph" w:styleId="Heading2">
    <w:name w:val="heading 2"/>
    <w:basedOn w:val="Normal"/>
    <w:link w:val="Heading2Char"/>
    <w:uiPriority w:val="1"/>
    <w:qFormat/>
    <w:rsid w:val="001678E2"/>
    <w:pPr>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78E2"/>
    <w:rPr>
      <w:rFonts w:ascii="Arial" w:eastAsia="Arial" w:hAnsi="Arial" w:cs="Arial"/>
      <w:b/>
      <w:bCs/>
      <w:sz w:val="24"/>
      <w:szCs w:val="24"/>
      <w:u w:val="single" w:color="000000"/>
    </w:rPr>
  </w:style>
  <w:style w:type="character" w:customStyle="1" w:styleId="Heading2Char">
    <w:name w:val="Heading 2 Char"/>
    <w:basedOn w:val="DefaultParagraphFont"/>
    <w:link w:val="Heading2"/>
    <w:uiPriority w:val="1"/>
    <w:rsid w:val="001678E2"/>
    <w:rPr>
      <w:rFonts w:ascii="Arial" w:eastAsia="Arial" w:hAnsi="Arial" w:cs="Arial"/>
      <w:b/>
      <w:bCs/>
      <w:sz w:val="20"/>
      <w:szCs w:val="20"/>
    </w:rPr>
  </w:style>
  <w:style w:type="paragraph" w:styleId="BodyText">
    <w:name w:val="Body Text"/>
    <w:basedOn w:val="Normal"/>
    <w:link w:val="BodyTextChar"/>
    <w:uiPriority w:val="1"/>
    <w:qFormat/>
    <w:rsid w:val="001678E2"/>
    <w:rPr>
      <w:sz w:val="20"/>
      <w:szCs w:val="20"/>
    </w:rPr>
  </w:style>
  <w:style w:type="character" w:customStyle="1" w:styleId="BodyTextChar">
    <w:name w:val="Body Text Char"/>
    <w:basedOn w:val="DefaultParagraphFont"/>
    <w:link w:val="BodyText"/>
    <w:uiPriority w:val="1"/>
    <w:rsid w:val="001678E2"/>
    <w:rPr>
      <w:rFonts w:ascii="Arial" w:eastAsia="Arial" w:hAnsi="Arial" w:cs="Arial"/>
      <w:sz w:val="20"/>
      <w:szCs w:val="20"/>
    </w:rPr>
  </w:style>
  <w:style w:type="paragraph" w:styleId="ListParagraph">
    <w:name w:val="List Paragraph"/>
    <w:basedOn w:val="Normal"/>
    <w:uiPriority w:val="1"/>
    <w:qFormat/>
    <w:rsid w:val="001678E2"/>
    <w:pPr>
      <w:spacing w:before="39"/>
      <w:ind w:left="840" w:hanging="360"/>
    </w:pPr>
  </w:style>
  <w:style w:type="paragraph" w:customStyle="1" w:styleId="TableParagraph">
    <w:name w:val="Table Paragraph"/>
    <w:basedOn w:val="Normal"/>
    <w:uiPriority w:val="1"/>
    <w:qFormat/>
    <w:rsid w:val="001678E2"/>
    <w:pPr>
      <w:spacing w:before="38"/>
      <w:ind w:left="103"/>
    </w:pPr>
  </w:style>
  <w:style w:type="table" w:styleId="TableGrid">
    <w:name w:val="Table Grid"/>
    <w:basedOn w:val="TableNormal"/>
    <w:uiPriority w:val="59"/>
    <w:rsid w:val="001678E2"/>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8E2"/>
    <w:rPr>
      <w:color w:val="0563C1" w:themeColor="hyperlink"/>
      <w:u w:val="single"/>
    </w:rPr>
  </w:style>
  <w:style w:type="paragraph" w:customStyle="1" w:styleId="Default">
    <w:name w:val="Default"/>
    <w:rsid w:val="001678E2"/>
    <w:pPr>
      <w:autoSpaceDE w:val="0"/>
      <w:autoSpaceDN w:val="0"/>
      <w:adjustRightInd w:val="0"/>
      <w:spacing w:after="0" w:line="240" w:lineRule="auto"/>
    </w:pPr>
    <w:rPr>
      <w:rFonts w:ascii="Archer Book" w:hAnsi="Archer Book" w:cs="Archer Book"/>
      <w:color w:val="000000"/>
      <w:sz w:val="24"/>
      <w:szCs w:val="24"/>
    </w:rPr>
  </w:style>
  <w:style w:type="paragraph" w:styleId="FootnoteText">
    <w:name w:val="footnote text"/>
    <w:basedOn w:val="Normal"/>
    <w:link w:val="FootnoteTextChar"/>
    <w:uiPriority w:val="99"/>
    <w:semiHidden/>
    <w:unhideWhenUsed/>
    <w:rsid w:val="001678E2"/>
    <w:rPr>
      <w:sz w:val="20"/>
      <w:szCs w:val="20"/>
    </w:rPr>
  </w:style>
  <w:style w:type="character" w:customStyle="1" w:styleId="FootnoteTextChar">
    <w:name w:val="Footnote Text Char"/>
    <w:basedOn w:val="DefaultParagraphFont"/>
    <w:link w:val="FootnoteText"/>
    <w:uiPriority w:val="99"/>
    <w:semiHidden/>
    <w:rsid w:val="001678E2"/>
    <w:rPr>
      <w:rFonts w:ascii="Arial" w:eastAsia="Arial" w:hAnsi="Arial" w:cs="Arial"/>
      <w:sz w:val="20"/>
      <w:szCs w:val="20"/>
    </w:rPr>
  </w:style>
  <w:style w:type="character" w:styleId="FootnoteReference">
    <w:name w:val="footnote reference"/>
    <w:basedOn w:val="DefaultParagraphFont"/>
    <w:uiPriority w:val="99"/>
    <w:semiHidden/>
    <w:unhideWhenUsed/>
    <w:rsid w:val="001678E2"/>
    <w:rPr>
      <w:vertAlign w:val="superscript"/>
    </w:rPr>
  </w:style>
  <w:style w:type="character" w:styleId="UnresolvedMention">
    <w:name w:val="Unresolved Mention"/>
    <w:basedOn w:val="DefaultParagraphFont"/>
    <w:uiPriority w:val="99"/>
    <w:semiHidden/>
    <w:unhideWhenUsed/>
    <w:rsid w:val="001678E2"/>
    <w:rPr>
      <w:color w:val="605E5C"/>
      <w:shd w:val="clear" w:color="auto" w:fill="E1DFDD"/>
    </w:rPr>
  </w:style>
  <w:style w:type="paragraph" w:styleId="BalloonText">
    <w:name w:val="Balloon Text"/>
    <w:basedOn w:val="Normal"/>
    <w:link w:val="BalloonTextChar"/>
    <w:uiPriority w:val="99"/>
    <w:semiHidden/>
    <w:unhideWhenUsed/>
    <w:rsid w:val="00691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58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financial.net" TargetMode="External"/><Relationship Id="rId3" Type="http://schemas.openxmlformats.org/officeDocument/2006/relationships/settings" Target="settings.xml"/><Relationship Id="rId7" Type="http://schemas.openxmlformats.org/officeDocument/2006/relationships/hyperlink" Target="http://www.worldfinanci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ldfinanci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5214</Words>
  <Characters>29722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Deslonde</dc:creator>
  <cp:keywords/>
  <dc:description/>
  <cp:lastModifiedBy>James Deslonde</cp:lastModifiedBy>
  <cp:revision>1</cp:revision>
  <cp:lastPrinted>2020-06-17T17:25:00Z</cp:lastPrinted>
  <dcterms:created xsi:type="dcterms:W3CDTF">2020-06-17T17:12:00Z</dcterms:created>
  <dcterms:modified xsi:type="dcterms:W3CDTF">2020-06-17T17:26:00Z</dcterms:modified>
</cp:coreProperties>
</file>